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E94" w:rsidRPr="00C338E8" w:rsidRDefault="00414E94" w:rsidP="00C45410">
      <w:pPr>
        <w:ind w:left="1276" w:right="-44" w:firstLine="0"/>
        <w:rPr>
          <w:rFonts w:asciiTheme="majorBidi" w:hAnsiTheme="majorBidi" w:cstheme="majorBidi"/>
        </w:rPr>
      </w:pPr>
    </w:p>
    <w:p w:rsidR="002C75A9" w:rsidRPr="00065F07" w:rsidRDefault="002C75A9" w:rsidP="00C45410">
      <w:pPr>
        <w:pStyle w:val="Normal0"/>
        <w:ind w:left="1276" w:firstLine="0"/>
        <w:jc w:val="center"/>
        <w:rPr>
          <w:rFonts w:ascii="Times New Roman" w:hAnsi="Times New Roman" w:cs="Times New Roman"/>
        </w:rPr>
      </w:pPr>
      <w:r w:rsidRPr="00065F07">
        <w:rPr>
          <w:rFonts w:ascii="Times New Roman" w:hAnsi="Times New Roman" w:cs="Times New Roman"/>
        </w:rPr>
        <w:t xml:space="preserve">RAW </w:t>
      </w:r>
      <w:r w:rsidRPr="006914E1">
        <w:rPr>
          <w:rFonts w:ascii="Times New Roman" w:hAnsi="Times New Roman" w:cs="Times New Roman"/>
        </w:rPr>
        <w:t>TRANSCRIPT</w:t>
      </w:r>
    </w:p>
    <w:p w:rsidR="002C75A9" w:rsidRPr="006914E1" w:rsidRDefault="002C75A9" w:rsidP="00C45410">
      <w:pPr>
        <w:spacing w:line="240" w:lineRule="auto"/>
        <w:ind w:left="1276" w:right="-44" w:firstLine="0"/>
        <w:jc w:val="center"/>
        <w:rPr>
          <w:rFonts w:ascii="Times New Roman" w:hAnsi="Times New Roman" w:cs="Times New Roman"/>
        </w:rPr>
      </w:pPr>
      <w:r w:rsidRPr="006914E1">
        <w:rPr>
          <w:rFonts w:ascii="Times New Roman" w:hAnsi="Times New Roman" w:cs="Times New Roman"/>
        </w:rPr>
        <w:t>TELECOMMUNICATION SECTOR ADVISORY GROUP</w:t>
      </w:r>
    </w:p>
    <w:p w:rsidR="002C75A9" w:rsidRPr="006914E1" w:rsidRDefault="002C75A9" w:rsidP="00C45410">
      <w:pPr>
        <w:spacing w:line="240" w:lineRule="auto"/>
        <w:ind w:left="1276" w:right="-44" w:firstLine="0"/>
        <w:jc w:val="center"/>
        <w:rPr>
          <w:rFonts w:ascii="Times New Roman" w:hAnsi="Times New Roman" w:cs="Times New Roman"/>
        </w:rPr>
      </w:pPr>
      <w:r w:rsidRPr="006914E1">
        <w:rPr>
          <w:rFonts w:ascii="Times New Roman" w:hAnsi="Times New Roman" w:cs="Times New Roman"/>
        </w:rPr>
        <w:t>TELECOMMUNICATION STANDARDIZATION SECTOR</w:t>
      </w:r>
    </w:p>
    <w:p w:rsidR="002C75A9" w:rsidRPr="006914E1" w:rsidRDefault="002C75A9" w:rsidP="00C45410">
      <w:pPr>
        <w:spacing w:line="240" w:lineRule="auto"/>
        <w:ind w:left="1276" w:right="-44" w:firstLine="0"/>
        <w:jc w:val="center"/>
        <w:rPr>
          <w:rFonts w:ascii="Times New Roman" w:hAnsi="Times New Roman" w:cs="Times New Roman"/>
        </w:rPr>
      </w:pPr>
      <w:r w:rsidRPr="006914E1">
        <w:rPr>
          <w:rFonts w:ascii="Times New Roman" w:hAnsi="Times New Roman" w:cs="Times New Roman"/>
        </w:rPr>
        <w:t>GENEVA, SWITZERLAND</w:t>
      </w:r>
    </w:p>
    <w:p w:rsidR="002C75A9" w:rsidRPr="006914E1" w:rsidRDefault="002C75A9" w:rsidP="00C45410">
      <w:pPr>
        <w:spacing w:line="240" w:lineRule="auto"/>
        <w:ind w:left="1276" w:right="-44" w:firstLine="0"/>
        <w:jc w:val="center"/>
        <w:rPr>
          <w:rFonts w:ascii="Times New Roman" w:hAnsi="Times New Roman" w:cs="Times New Roman"/>
        </w:rPr>
      </w:pPr>
      <w:r>
        <w:rPr>
          <w:rFonts w:ascii="Times New Roman" w:hAnsi="Times New Roman"/>
        </w:rPr>
        <w:t>3</w:t>
      </w:r>
      <w:r w:rsidRPr="006914E1">
        <w:rPr>
          <w:rFonts w:ascii="Times New Roman" w:hAnsi="Times New Roman" w:cs="Times New Roman"/>
        </w:rPr>
        <w:t xml:space="preserve"> JUNE 2015</w:t>
      </w:r>
    </w:p>
    <w:p w:rsidR="002C75A9" w:rsidRPr="00EB6875" w:rsidRDefault="002C75A9" w:rsidP="00C45410">
      <w:pPr>
        <w:pStyle w:val="Normal0"/>
        <w:ind w:left="1276" w:firstLine="0"/>
        <w:jc w:val="center"/>
        <w:rPr>
          <w:rFonts w:ascii="Times New Roman" w:hAnsi="Times New Roman" w:cs="Times New Roman"/>
        </w:rPr>
      </w:pPr>
      <w:r>
        <w:rPr>
          <w:rFonts w:ascii="Times New Roman" w:hAnsi="Times New Roman" w:cs="Times New Roman"/>
        </w:rPr>
        <w:t>1</w:t>
      </w:r>
      <w:r>
        <w:rPr>
          <w:rFonts w:ascii="Times New Roman" w:hAnsi="Times New Roman" w:cs="Times New Roman"/>
        </w:rPr>
        <w:t>6</w:t>
      </w:r>
      <w:r w:rsidRPr="00EB6875">
        <w:rPr>
          <w:rFonts w:ascii="Times New Roman" w:hAnsi="Times New Roman" w:cs="Times New Roman"/>
        </w:rPr>
        <w:t>:</w:t>
      </w:r>
      <w:r>
        <w:rPr>
          <w:rFonts w:ascii="Times New Roman" w:hAnsi="Times New Roman" w:cs="Times New Roman"/>
        </w:rPr>
        <w:t>3</w:t>
      </w:r>
      <w:r w:rsidRPr="00EB6875">
        <w:rPr>
          <w:rFonts w:ascii="Times New Roman" w:hAnsi="Times New Roman" w:cs="Times New Roman"/>
        </w:rPr>
        <w:t xml:space="preserve">0 </w:t>
      </w:r>
      <w:r w:rsidRPr="002A6FB2">
        <w:rPr>
          <w:rFonts w:ascii="Times New Roman" w:hAnsi="Times New Roman" w:cs="Times New Roman"/>
        </w:rPr>
        <w:t>GENEVA LOCAL TIME</w:t>
      </w:r>
    </w:p>
    <w:p w:rsidR="00414E94" w:rsidRPr="00C338E8" w:rsidRDefault="00414E94" w:rsidP="00C45410">
      <w:pPr>
        <w:ind w:left="1276" w:right="-44" w:firstLine="0"/>
        <w:jc w:val="center"/>
        <w:rPr>
          <w:rFonts w:asciiTheme="majorBidi" w:hAnsiTheme="majorBidi" w:cstheme="majorBidi"/>
        </w:rPr>
      </w:pPr>
    </w:p>
    <w:p w:rsidR="00C45410" w:rsidRPr="00E42C7C" w:rsidRDefault="00C45410" w:rsidP="00C45410">
      <w:pPr>
        <w:pStyle w:val="ByContin1"/>
        <w:tabs>
          <w:tab w:val="clear" w:pos="504"/>
        </w:tabs>
        <w:ind w:left="1276" w:firstLine="0"/>
        <w:rPr>
          <w:rFonts w:ascii="Times New Roman" w:hAnsi="Times New Roman" w:cs="Times New Roman"/>
        </w:rPr>
      </w:pPr>
      <w:r w:rsidRPr="00E42C7C">
        <w:rPr>
          <w:rFonts w:ascii="Times New Roman" w:hAnsi="Times New Roman" w:cs="Times New Roman"/>
        </w:rPr>
        <w:t>Services Provided By:</w:t>
      </w:r>
    </w:p>
    <w:p w:rsidR="00C45410" w:rsidRPr="00E42C7C" w:rsidRDefault="00C45410" w:rsidP="00C45410">
      <w:pPr>
        <w:pStyle w:val="ByContin1"/>
        <w:tabs>
          <w:tab w:val="clear" w:pos="504"/>
        </w:tabs>
        <w:ind w:left="1276" w:firstLine="0"/>
        <w:rPr>
          <w:rFonts w:ascii="Times New Roman" w:hAnsi="Times New Roman" w:cs="Times New Roman"/>
        </w:rPr>
      </w:pPr>
    </w:p>
    <w:p w:rsidR="00C45410" w:rsidRPr="00E42C7C" w:rsidRDefault="00C45410" w:rsidP="00C45410">
      <w:pPr>
        <w:pStyle w:val="ByContin1"/>
        <w:tabs>
          <w:tab w:val="clear" w:pos="504"/>
        </w:tabs>
        <w:ind w:left="1276" w:firstLine="0"/>
        <w:rPr>
          <w:rFonts w:ascii="Times New Roman" w:hAnsi="Times New Roman" w:cs="Times New Roman"/>
        </w:rPr>
      </w:pPr>
      <w:r w:rsidRPr="00E42C7C">
        <w:rPr>
          <w:rFonts w:ascii="Times New Roman" w:hAnsi="Times New Roman" w:cs="Times New Roman"/>
        </w:rPr>
        <w:t>Caption First, Inc.</w:t>
      </w:r>
    </w:p>
    <w:p w:rsidR="00C45410" w:rsidRPr="00E42C7C" w:rsidRDefault="00C45410" w:rsidP="00C45410">
      <w:pPr>
        <w:pStyle w:val="ByContin1"/>
        <w:tabs>
          <w:tab w:val="clear" w:pos="504"/>
        </w:tabs>
        <w:ind w:left="1276" w:firstLine="0"/>
        <w:rPr>
          <w:rFonts w:ascii="Times New Roman" w:hAnsi="Times New Roman" w:cs="Times New Roman"/>
        </w:rPr>
      </w:pPr>
      <w:r w:rsidRPr="00E42C7C">
        <w:rPr>
          <w:rFonts w:ascii="Times New Roman" w:hAnsi="Times New Roman" w:cs="Times New Roman"/>
        </w:rPr>
        <w:t>P.O Box 3066</w:t>
      </w:r>
    </w:p>
    <w:p w:rsidR="00C45410" w:rsidRPr="00E42C7C" w:rsidRDefault="00C45410" w:rsidP="00C45410">
      <w:pPr>
        <w:pStyle w:val="ByContin1"/>
        <w:tabs>
          <w:tab w:val="clear" w:pos="504"/>
        </w:tabs>
        <w:ind w:left="1276" w:firstLine="0"/>
        <w:rPr>
          <w:rFonts w:ascii="Times New Roman" w:hAnsi="Times New Roman" w:cs="Times New Roman"/>
        </w:rPr>
      </w:pPr>
      <w:r w:rsidRPr="00E42C7C">
        <w:rPr>
          <w:rFonts w:ascii="Times New Roman" w:hAnsi="Times New Roman" w:cs="Times New Roman"/>
        </w:rPr>
        <w:t>Monument, CO  80132</w:t>
      </w:r>
      <w:bookmarkStart w:id="0" w:name="_GoBack"/>
      <w:bookmarkEnd w:id="0"/>
    </w:p>
    <w:p w:rsidR="00C45410" w:rsidRPr="00E42C7C" w:rsidRDefault="00C45410" w:rsidP="00C45410">
      <w:pPr>
        <w:pStyle w:val="ByContin1"/>
        <w:tabs>
          <w:tab w:val="clear" w:pos="504"/>
        </w:tabs>
        <w:ind w:left="1276" w:firstLine="0"/>
        <w:rPr>
          <w:rFonts w:ascii="Times New Roman" w:hAnsi="Times New Roman" w:cs="Times New Roman"/>
        </w:rPr>
      </w:pPr>
      <w:r w:rsidRPr="00E42C7C">
        <w:rPr>
          <w:rFonts w:ascii="Times New Roman" w:hAnsi="Times New Roman" w:cs="Times New Roman"/>
        </w:rPr>
        <w:t>1</w:t>
      </w:r>
      <w:r w:rsidRPr="00E42C7C">
        <w:rPr>
          <w:rFonts w:ascii="Times New Roman" w:hAnsi="Times New Roman" w:cs="Times New Roman"/>
        </w:rPr>
        <w:noBreakHyphen/>
        <w:t>877</w:t>
      </w:r>
      <w:r w:rsidRPr="00E42C7C">
        <w:rPr>
          <w:rFonts w:ascii="Times New Roman" w:hAnsi="Times New Roman" w:cs="Times New Roman"/>
        </w:rPr>
        <w:noBreakHyphen/>
        <w:t>825</w:t>
      </w:r>
      <w:r w:rsidRPr="00E42C7C">
        <w:rPr>
          <w:rFonts w:ascii="Times New Roman" w:hAnsi="Times New Roman" w:cs="Times New Roman"/>
        </w:rPr>
        <w:noBreakHyphen/>
        <w:t>5234</w:t>
      </w:r>
    </w:p>
    <w:p w:rsidR="00C45410" w:rsidRPr="00E42C7C" w:rsidRDefault="00C45410" w:rsidP="00C45410">
      <w:pPr>
        <w:pStyle w:val="ByContin1"/>
        <w:tabs>
          <w:tab w:val="clear" w:pos="504"/>
        </w:tabs>
        <w:ind w:left="1276" w:firstLine="0"/>
        <w:rPr>
          <w:rFonts w:ascii="Times New Roman" w:hAnsi="Times New Roman" w:cs="Times New Roman"/>
        </w:rPr>
      </w:pPr>
      <w:r w:rsidRPr="00E42C7C">
        <w:rPr>
          <w:rFonts w:ascii="Times New Roman" w:hAnsi="Times New Roman" w:cs="Times New Roman"/>
        </w:rPr>
        <w:t>+001</w:t>
      </w:r>
      <w:r w:rsidRPr="00E42C7C">
        <w:rPr>
          <w:rFonts w:ascii="Times New Roman" w:hAnsi="Times New Roman" w:cs="Times New Roman"/>
        </w:rPr>
        <w:noBreakHyphen/>
        <w:t>719</w:t>
      </w:r>
      <w:r w:rsidRPr="00E42C7C">
        <w:rPr>
          <w:rFonts w:ascii="Times New Roman" w:hAnsi="Times New Roman" w:cs="Times New Roman"/>
        </w:rPr>
        <w:noBreakHyphen/>
        <w:t>481</w:t>
      </w:r>
      <w:r w:rsidRPr="00E42C7C">
        <w:rPr>
          <w:rFonts w:ascii="Times New Roman" w:hAnsi="Times New Roman" w:cs="Times New Roman"/>
        </w:rPr>
        <w:noBreakHyphen/>
        <w:t>9835</w:t>
      </w:r>
    </w:p>
    <w:p w:rsidR="00C45410" w:rsidRPr="00E42C7C" w:rsidRDefault="00C45410" w:rsidP="00C45410">
      <w:pPr>
        <w:pStyle w:val="ByContin1"/>
        <w:tabs>
          <w:tab w:val="clear" w:pos="504"/>
        </w:tabs>
        <w:ind w:left="1276" w:firstLine="0"/>
        <w:rPr>
          <w:rFonts w:ascii="Times New Roman" w:hAnsi="Times New Roman" w:cs="Times New Roman"/>
        </w:rPr>
      </w:pPr>
      <w:r w:rsidRPr="00E42C7C">
        <w:rPr>
          <w:rFonts w:ascii="Times New Roman" w:hAnsi="Times New Roman" w:cs="Times New Roman"/>
        </w:rPr>
        <w:t>www.captionfirst.com</w:t>
      </w:r>
    </w:p>
    <w:p w:rsidR="00212FD0" w:rsidRPr="00C338E8" w:rsidRDefault="00212FD0" w:rsidP="00C45410">
      <w:pPr>
        <w:pStyle w:val="Fixed"/>
        <w:ind w:left="1276" w:firstLine="0"/>
        <w:rPr>
          <w:rFonts w:asciiTheme="majorBidi" w:hAnsiTheme="majorBidi" w:cstheme="majorBidi"/>
        </w:rPr>
      </w:pPr>
    </w:p>
    <w:p w:rsidR="00414E94" w:rsidRPr="00C338E8" w:rsidRDefault="00212FD0" w:rsidP="00C45410">
      <w:pPr>
        <w:pStyle w:val="Centered"/>
        <w:ind w:left="1276" w:right="-44" w:firstLine="0"/>
        <w:rPr>
          <w:rFonts w:asciiTheme="majorBidi" w:hAnsiTheme="majorBidi" w:cstheme="majorBidi"/>
        </w:rPr>
      </w:pPr>
      <w:r w:rsidRPr="00C338E8">
        <w:rPr>
          <w:rFonts w:asciiTheme="majorBidi" w:hAnsiTheme="majorBidi" w:cstheme="majorBidi"/>
        </w:rPr>
        <w:t xml:space="preserve">*** </w:t>
      </w:r>
    </w:p>
    <w:p w:rsidR="00414E94" w:rsidRPr="00C338E8" w:rsidRDefault="00212FD0" w:rsidP="00C45410">
      <w:pPr>
        <w:ind w:left="1276" w:right="-44" w:firstLine="0"/>
        <w:rPr>
          <w:rFonts w:asciiTheme="majorBidi" w:hAnsiTheme="majorBidi" w:cstheme="majorBidi"/>
        </w:rPr>
      </w:pPr>
      <w:r w:rsidRPr="00C338E8">
        <w:rPr>
          <w:rFonts w:asciiTheme="majorBidi" w:hAnsiTheme="majorBidi" w:cstheme="majorBidi"/>
        </w:rPr>
        <w:t>This text is being provided in a rough draft Format.  Communication Access Realtime Translation (CART) or captioning are provided in order to facilitate communication accessibility and may not be a totally verbatim record of the proceedings.</w:t>
      </w:r>
    </w:p>
    <w:p w:rsidR="00414E94" w:rsidRPr="00C338E8" w:rsidRDefault="00212FD0" w:rsidP="00C45410">
      <w:pPr>
        <w:pStyle w:val="Centered"/>
        <w:ind w:left="1276" w:right="-44" w:firstLine="0"/>
        <w:rPr>
          <w:rFonts w:asciiTheme="majorBidi" w:hAnsiTheme="majorBidi" w:cstheme="majorBidi"/>
        </w:rPr>
      </w:pPr>
      <w:r w:rsidRPr="00C338E8">
        <w:rPr>
          <w:rFonts w:asciiTheme="majorBidi" w:hAnsiTheme="majorBidi" w:cstheme="majorBidi"/>
        </w:rPr>
        <w:t xml:space="preserve">*** </w:t>
      </w:r>
    </w:p>
    <w:p w:rsidR="00414E94" w:rsidRPr="00C338E8" w:rsidRDefault="00414E94" w:rsidP="00C45410">
      <w:pPr>
        <w:ind w:left="1276" w:right="-44" w:firstLine="0"/>
        <w:rPr>
          <w:rFonts w:asciiTheme="majorBidi" w:hAnsiTheme="majorBidi" w:cstheme="majorBidi"/>
        </w:rPr>
      </w:pPr>
    </w:p>
    <w:p w:rsidR="00414E94" w:rsidRPr="00C338E8" w:rsidRDefault="00212FD0" w:rsidP="00C45410">
      <w:pPr>
        <w:ind w:left="1276" w:right="-44" w:firstLine="0"/>
        <w:rPr>
          <w:rFonts w:asciiTheme="majorBidi" w:hAnsiTheme="majorBidi" w:cstheme="majorBidi"/>
        </w:rPr>
      </w:pPr>
      <w:r w:rsidRPr="00C338E8">
        <w:rPr>
          <w:rFonts w:asciiTheme="majorBidi" w:hAnsiTheme="majorBidi" w:cstheme="majorBidi"/>
        </w:rPr>
        <w:t>&gt;&gt; CHAIRMAN:  Good afternoon, ladies and gentlemen, I need to announce to you that there will be a second meeting.  This will be held from 9:30 until 11:00 tomorrow morning.  So the ad hoc group will convene its second meeting 9:30 to 11.  There will be documents prepared for that meeting and I would ask you to consult the screens as to the location, but I assume it will be in this room.  It would make most sense if that were the case.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Before we begin our session this afternoon, we continue with the focus groups, but before I proceed, I would like to give the floor to Orange, please. </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ORANGE:  As the reporter on working methods, what concerns me a little bit is that we have a meeting of our group yesterday before the reception, therefore, weren't many people there.  It's also tomorrow morning as well as a session, there is also another session.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We will also have very little people there.  And I see that all the problems will be brought to the plenary on Friday.  Therefore, perhaps should we consider another time, perhaps 11:30 with all respect for the other group, they have already had their sessions whereas our group, we have had one session yesterday that very few people could attend.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Yes, thank you.  Rather than get into a discussion about the timing of meetings, I'd like to sort this out at coffee break.  So I think we can do that quickly, but at least in theory, the ad hoc group will meet from 9:30 until 11:00 unless another arrangement can be identified, but I do believe that it would be very important that that group meet as soon as possible tomorrow.</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But we will discuss this further at the coffee break.  Now, I would like to before we proceed with the discussion concerning the focus groups, I would like to go back to the Chairman of Study Group 13 for a moment.  We did skip over one Document, TD248 concerning the JCA on Cloud </w:t>
      </w:r>
      <w:r w:rsidRPr="00C338E8">
        <w:rPr>
          <w:rFonts w:asciiTheme="majorBidi" w:hAnsiTheme="majorBidi" w:cstheme="majorBidi"/>
        </w:rPr>
        <w:lastRenderedPageBreak/>
        <w:t>Computing.  I didn't give Mr. Lehmann an opportunity to say anything about the JCA, but I would like to give him that opportunity now, Mr. Lehmann, please, Study Group 13.</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LEHMANN:  Thank you very much, Mr. Chairman.  As stated in my presentation yesterday, JCA Cloud was closed in the last Study Group meeting and I won't miss the opportunity here to thank the convener who is sitting here on the front for her great </w:t>
      </w:r>
      <w:r w:rsidRPr="00C338E8">
        <w:rPr>
          <w:rFonts w:asciiTheme="majorBidi" w:hAnsiTheme="majorBidi" w:cstheme="majorBidi"/>
        </w:rPr>
        <w:noBreakHyphen/>
      </w:r>
      <w:r w:rsidRPr="00C338E8">
        <w:rPr>
          <w:rFonts w:asciiTheme="majorBidi" w:hAnsiTheme="majorBidi" w:cstheme="majorBidi"/>
        </w:rPr>
        <w:noBreakHyphen/>
        <w:t xml:space="preserve"> Monique Moro for her great work in convening the group in a very excellent way.  I would say it is a very good example for cooperation of ITU with other STOs outside, and Study Groups inside ITU.</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And I think this group has done an excellent job, and I think with this I think we have now or we have closed with a good impression that the mission is accomplished.  Thank you very much, Monique.  </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Mr. Lehmann and Ms. Moro for the excellent work that was completed.  If we could move to item 15, the first item is 15.1 on the focus group innovation.  My apologies.  My Secretariat tells me because of the remote participation I should start with 15.5 the Focus Group on digital financial services.  We do have the Chairman available remotely.  The reference document is TD246 so I would like to give the opportunity for the Chairman of the focus group to present the report.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SACHA POLVERINI:  Thank you, Chairman.  I hope you can hear me well.  I would like to share a few information and updates (Garbled audio) can you all hear me.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No.  You are breaking up.  We can't really interpret that.  I think there is an audio problem.  This is preventing the interpreters from actually hearing your words coherently.  So I'm not sure what the difficulty is, but if you speak as slowly as possible, I think that would help, not too close to the microphone.  In any case, if you would proceed, thank you.</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SACHA POLVERINI:  I have a few slides that I would like to present that can be projected I wanted to start my presentation with a quote from given by Jaime Caruana, general manager of the BIS, global (Garbled audio) all of the standards that are responsible for </w:t>
      </w:r>
      <w:r w:rsidRPr="00C338E8">
        <w:rPr>
          <w:rFonts w:asciiTheme="majorBidi" w:hAnsiTheme="majorBidi" w:cstheme="majorBidi"/>
        </w:rPr>
        <w:noBreakHyphen/>
      </w:r>
      <w:r w:rsidRPr="00C338E8">
        <w:rPr>
          <w:rFonts w:asciiTheme="majorBidi" w:hAnsiTheme="majorBidi" w:cstheme="majorBidi"/>
        </w:rPr>
        <w:noBreakHyphen/>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I'm sorry for interrupting, but the audio quality is not sufficient for us to actually hear you.  So I don't believe it will be possible to continue with the presentation with the audio quality the way it is.  It certainly can't be interpreted.  I don't think he hears me.  I am advised by the Secretariat that perhaps we should stop at this point.  I apologize profusely about this, but unfortunately we cannot hear you clearly and certainly there is no opportunity to interpret your words.  We do have, of course, the presentation, we do have TD246.</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 did want to note that the focus group on digital financial services one of the three active focus groups at the moment, so unfortunately we are unable to hear your words and your presentation.  So, again, our apologies.  Is there any possibility of perhaps V.J. presenting the Document from the Secretariat?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Yes, Chairman, I can make the presentation if required, yes.  Okay.  I’ll start where the Chairman left off.  He was referring to the statement that was made by the general manager of the Bank of International Settlement in October 2014 where he highlighted that there are now a number of players in digital financial services and he made reference to the focus group on digital financial services that was established by ITU and invited people to collaborate in this Forum.</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So there is a number of standards bodies working in this field, and at the level of the focus group we have tried to have the standard bodies to participate in the work of the focus group.  So the focus group was set for a period of two years.  It's intended for session for dialogue in key stakeholders in the digital financial services, central banks, telecom regulators, consumer organisations, international organisations such as the World Bank and also CGAP and Cash </w:t>
      </w:r>
      <w:r w:rsidRPr="00C338E8">
        <w:rPr>
          <w:rFonts w:asciiTheme="majorBidi" w:hAnsiTheme="majorBidi" w:cstheme="majorBidi"/>
        </w:rPr>
        <w:lastRenderedPageBreak/>
        <w:t>Alliance, Mobile Network Operators, digital financial services providers, and also mobile platform providers.  The focus group had two meetings already.</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first meeting was held in Geneva on the 5</w:t>
      </w:r>
      <w:r w:rsidRPr="00C338E8">
        <w:rPr>
          <w:rFonts w:asciiTheme="majorBidi" w:hAnsiTheme="majorBidi" w:cstheme="majorBidi"/>
          <w:vertAlign w:val="superscript"/>
        </w:rPr>
        <w:t>th</w:t>
      </w:r>
      <w:r w:rsidRPr="00C338E8">
        <w:rPr>
          <w:rFonts w:asciiTheme="majorBidi" w:hAnsiTheme="majorBidi" w:cstheme="majorBidi"/>
        </w:rPr>
        <w:t xml:space="preserve"> of December, 2014, and it was preceded by a workshop on digital financial services and financial inclusion on the 4</w:t>
      </w:r>
      <w:r w:rsidRPr="00C338E8">
        <w:rPr>
          <w:rFonts w:asciiTheme="majorBidi" w:hAnsiTheme="majorBidi" w:cstheme="majorBidi"/>
          <w:vertAlign w:val="superscript"/>
        </w:rPr>
        <w:t>th</w:t>
      </w:r>
      <w:r w:rsidRPr="00C338E8">
        <w:rPr>
          <w:rFonts w:asciiTheme="majorBidi" w:hAnsiTheme="majorBidi" w:cstheme="majorBidi"/>
        </w:rPr>
        <w:t xml:space="preserve"> of December.  The first meeting saw participation of 97 participants from 25 different countries.  The second meeting was then held in Washington, D.C. on 21</w:t>
      </w:r>
      <w:r w:rsidRPr="00C338E8">
        <w:rPr>
          <w:rFonts w:asciiTheme="majorBidi" w:hAnsiTheme="majorBidi" w:cstheme="majorBidi"/>
          <w:vertAlign w:val="superscript"/>
        </w:rPr>
        <w:t>st</w:t>
      </w:r>
      <w:r w:rsidRPr="00C338E8">
        <w:rPr>
          <w:rFonts w:asciiTheme="majorBidi" w:hAnsiTheme="majorBidi" w:cstheme="majorBidi"/>
        </w:rPr>
        <w:t xml:space="preserve"> April, and this meeting saw the participation of 80 participants from 24 countries, and here it must be said that out of the 80 participants, some 50% of these were actually people that were participating for the first time in the focus group.</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now the next two meetings of the focus group will be on the first one is on 30 September to 2 October, 2015 in Malaysia followed by a meeting on the 15</w:t>
      </w:r>
      <w:r w:rsidRPr="00C338E8">
        <w:rPr>
          <w:rFonts w:asciiTheme="majorBidi" w:hAnsiTheme="majorBidi" w:cstheme="majorBidi"/>
        </w:rPr>
        <w:noBreakHyphen/>
        <w:t>17 December, ITU in Geneva.  And following the first meeting of the focus group which was held in Geneva, there were four Working Groups that were established.  So we will come to the activities of the Working Groups is in a few minutes.  If we can go to the next slide.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So the key objectives of this focus group is to promote dialogue and coordination between financial service providers and teleco regulators.  In particular, we want to draw the </w:t>
      </w:r>
      <w:proofErr w:type="gramStart"/>
      <w:r w:rsidRPr="00C338E8">
        <w:rPr>
          <w:rFonts w:asciiTheme="majorBidi" w:hAnsiTheme="majorBidi" w:cstheme="majorBidi"/>
        </w:rPr>
        <w:t>teleco  regulators'</w:t>
      </w:r>
      <w:proofErr w:type="gramEnd"/>
      <w:r w:rsidRPr="00C338E8">
        <w:rPr>
          <w:rFonts w:asciiTheme="majorBidi" w:hAnsiTheme="majorBidi" w:cstheme="majorBidi"/>
        </w:rPr>
        <w:t xml:space="preserve"> attention on increasing role of mobile financial services in promoting financial inclusion.  Given the increasing participation of Mobile Network Operators in provision of digital financial services, they need to clarify roles and responsibilities between financial service regulators and the teleco regulators.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In most Developing Countries, it has been seen that central banks remain the leading regulator for payment systems.  However, with digital financial services, teleco regulators also need to be actively involved in the discussion, and the focus group is identifying a series of key issues in order to have participation from both sectors to agree on principles and best practices and also to develop guidelines that can help emerging markets to fast track policy reforms in this area.</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Next slide.  So the main activities of the focus group has been on establishing liaison and relationships with other organisations like the World Bank, the alliance for financial inclusion, GSMA and also other Study Groups in the ITU to avoid duplication of efforts and to leverage the expertise, to also identify a vision of success that is identified which areas that the focus group should put its emphasis on its activities because there are a number of activities already taking place in all of these organisations.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the objective was to basically identify the role that the Focus Group could play in coordinating efforts between the central banks and the teleco regulators.  Identify and monitor technology trends in digital financial services and the role of the various stakeholders in ecosystem.  Identify successful use cases for implementation of secure digital financial services and also looking at the benefits for women as well.</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there is also a gender gap issue in digital financial services in Developing Countries, and the Focus Group is also looking at this aspect as well.  And the Focus Group will also be looking at the creation of an enabling framework for digital financial services.  So we talk about four Working Groups that were set up, so the interoperability Working Group, consumer experience and protection Working Group, technology, innovation and competition, and digital financial services ecosystem working group.  So the interoperability working group is, if we request go to the next </w:t>
      </w:r>
      <w:r w:rsidRPr="00C338E8">
        <w:rPr>
          <w:rFonts w:asciiTheme="majorBidi" w:hAnsiTheme="majorBidi" w:cstheme="majorBidi"/>
        </w:rPr>
        <w:noBreakHyphen/>
      </w:r>
      <w:r w:rsidRPr="00C338E8">
        <w:rPr>
          <w:rFonts w:asciiTheme="majorBidi" w:hAnsiTheme="majorBidi" w:cstheme="majorBidi"/>
        </w:rPr>
        <w:noBreakHyphen/>
        <w:t> can go to the next slide.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DFS ecosystem working group is led by Kara Benson.  The consumer experience protection group is led by Jamai Sollir, and Adel Bedoui, and in the interoperability we have four Co</w:t>
      </w:r>
      <w:r w:rsidRPr="00C338E8">
        <w:rPr>
          <w:rFonts w:asciiTheme="majorBidi" w:hAnsiTheme="majorBidi" w:cstheme="majorBidi"/>
        </w:rPr>
        <w:noBreakHyphen/>
        <w:t xml:space="preserve">Chairs, we have Thomas Lammer from the World Bank, Mark McCullough from Learo consulting.  </w:t>
      </w:r>
      <w:r w:rsidRPr="00C338E8">
        <w:rPr>
          <w:rFonts w:asciiTheme="majorBidi" w:hAnsiTheme="majorBidi" w:cstheme="majorBidi"/>
        </w:rPr>
        <w:lastRenderedPageBreak/>
        <w:t>Central bank of Brazil and the teleco regulator in Benin.  The technology innovation and competition working group is led by Lethan Consulting and Consult Hyperion.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next slide.  Task of the working group, the DFS ecosystem is looking at definition of terminology for digital financial services.  We also described the ecosystem for digital financial services including the role and responsibilities of stakeholders in the ecosystem.  Identify key elements of the ecosystem necessary for financial inclusion, and also establish liaison and relationships with other groups, and determine need for future ITU</w:t>
      </w:r>
      <w:r w:rsidRPr="00C338E8">
        <w:rPr>
          <w:rFonts w:asciiTheme="majorBidi" w:hAnsiTheme="majorBidi" w:cstheme="majorBidi"/>
        </w:rPr>
        <w:noBreakHyphen/>
        <w:t>T standardization actions.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interoperability working group undertaking is stock taking of successful and unsuccessful initiatives for interoperability, and it will work a definition for interoperability for digital financial services.  Its main deliverable would be a descriptive paper on the definition of interoperability, the use cases and the, a model for interoperability.</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Next slide.  The technology innovation and competition have established six work streams which are reviewing, which are firstly reviewing the digital financial services platforms.  Collecting hand set specifications in use in developing markets, collecting information about hand set types in use in Developing Countries, the working group is also looking at security for digital financial services, and also big data use in digital financial services as well as the competition issues in digital financial services.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consumer experience and protection working group will have two main deliverables, one on guidelines for consumer protection for digital financial services, and a guideline on quality of service for digital financial services.  So I must say here for technology, innovation and competition working group, we have established a liaison with Study Group 3 regarding the competition issues for digital financial services, and also with Study Group 17, the mobile Forum for security for digital financial services.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the consumer experience and protection working group has also established a liaison with Study Group 12 on the quality of service issues.  So this concludes the presentation on the work of the Focus Group, and we welcome everybody to participate in our next meeting in Malaysia.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Any comments or request questions, ladies and gentlemen?  Study Group 12 Chairman,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STUDY GROUP 3 CHAIRMAN:  Bruce, I'm talking about with the status of the Chairman from Study Group 3, I'm sorry.  I'm now sitting in a different place.  In terms of the cooperation between this Focus Group and Study Group 3, as the President just talked about it, we have set up one rapporteur group within Study Group named as economic and competitive aspects of mobile services, so taking into account the importance of this Focus Group, Study Group 3 is committed to cooperate closely with this Focus Group.</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Now, Study Group 13.</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&gt;&gt; STUDY GROUP 12:  Thank you, Chair, and thank you to the Focus Group for this work done.  Yes, we acknowledge the liaison to us and we have progressed to help develop guidelines on quality of service, but one has to be consistent with our usual is that usually liaison statements are not enough to help us progress work.  </w:t>
      </w:r>
      <w:proofErr w:type="gramStart"/>
      <w:r w:rsidRPr="00C338E8">
        <w:rPr>
          <w:rFonts w:asciiTheme="majorBidi" w:hAnsiTheme="majorBidi" w:cstheme="majorBidi"/>
        </w:rPr>
        <w:t>So</w:t>
      </w:r>
      <w:proofErr w:type="gramEnd"/>
      <w:r w:rsidRPr="00C338E8">
        <w:rPr>
          <w:rFonts w:asciiTheme="majorBidi" w:hAnsiTheme="majorBidi" w:cstheme="majorBidi"/>
        </w:rPr>
        <w:t xml:space="preserve"> just as they are inviting us to this meeting in Malaysia, we will also welcome them to our meetings to progress the work of the Study Groups.  So I think in that case it makes the work go faster and also for how to integrate some of these work if it is supposed to be recommendations in the future, then that synergy could be transferred to expedite work on such work.</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it is also an invitation in the Study Groups.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lastRenderedPageBreak/>
        <w:t>&gt;&gt; CHAIRMAN:  Thank you very much.  So, ladies and gentlemen, I don't see any further requests for the floor, so we can go onto the next item.  Now, I'm not going back to the items that were listed under the agenda for the Focus Group just yet.  I would like to go to item 16 at this time.  Concerning the collaboration on ITS communication standards.  The reference Document is TD269 and we do have Russ Shields on the line as a remote participant to provide a status report on the work associates with CITS.  Mr. Shields,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&gt;&gt; T. RUSSELL SHIELDS:  Thank you very much.  I appreciate the chance to make the presentation of where we are on the CITS.  What I see in the screen isn't the right presentation.  I won't go through complete detail, but the continued efforts on the collaboration in the </w:t>
      </w:r>
      <w:proofErr w:type="gramStart"/>
      <w:r w:rsidRPr="00C338E8">
        <w:rPr>
          <w:rFonts w:asciiTheme="majorBidi" w:hAnsiTheme="majorBidi" w:cstheme="majorBidi"/>
        </w:rPr>
        <w:t>ITS</w:t>
      </w:r>
      <w:proofErr w:type="gramEnd"/>
      <w:r w:rsidRPr="00C338E8">
        <w:rPr>
          <w:rFonts w:asciiTheme="majorBidi" w:hAnsiTheme="majorBidi" w:cstheme="majorBidi"/>
        </w:rPr>
        <w:t xml:space="preserve"> area with other standards group and UN has made substantial progress.  There are listed here three questions that are being worked on in different study Groups as a result of the work from CITS and these, the emergency call has been very important.  The work has been accepted by the UN as the basis for the emergency call UN recommended regulation that moves forward.  The security I'm working with Study Group 17 has become tremendously important in the car industry as the car industry works towards being able to do automated driving.</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Automated driving by consensus of leaders of the car industry has to be able to correct any kind of software issue that may occur when an, if an accident happens and some defect is found in the software and conditions.  We have to be able to update it over the air.  Updating the braking, steering, and other control systems for your car, you want those to be absolutely secure.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The issues with viruses and other Trojans and activities for PCs or Smart Phones are annoying if we allow them to happen in a car for the </w:t>
      </w:r>
      <w:proofErr w:type="gramStart"/>
      <w:r w:rsidRPr="00C338E8">
        <w:rPr>
          <w:rFonts w:asciiTheme="majorBidi" w:hAnsiTheme="majorBidi" w:cstheme="majorBidi"/>
        </w:rPr>
        <w:t>control, that</w:t>
      </w:r>
      <w:proofErr w:type="gramEnd"/>
      <w:r w:rsidRPr="00C338E8">
        <w:rPr>
          <w:rFonts w:asciiTheme="majorBidi" w:hAnsiTheme="majorBidi" w:cstheme="majorBidi"/>
        </w:rPr>
        <w:t xml:space="preserve"> risks your life.  And it's absolutely essential and the work on, in Study Group 17, question 6, is really appreciated by the car industry around the world.  We have started new work item in Study Group 16 on the taxonomy to list the levels of automation.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That's a requirement for us to be ail to create regulations that make sense.  We have to have a way for consistent reference.  There are many different suggestions that have been made around the world, and, again, we are working with the UN to move forward on how to get a globally harmonized taxonomy.  And that will be a subject of a discussion with the UN activities that we will be attending in Berlin on June 15</w:t>
      </w:r>
      <w:r w:rsidRPr="00C338E8">
        <w:rPr>
          <w:rFonts w:asciiTheme="majorBidi" w:hAnsiTheme="majorBidi" w:cstheme="majorBidi"/>
          <w:vertAlign w:val="superscript"/>
        </w:rPr>
        <w:t>th</w:t>
      </w:r>
      <w:r w:rsidRPr="00C338E8">
        <w:rPr>
          <w:rFonts w:asciiTheme="majorBidi" w:hAnsiTheme="majorBidi" w:cstheme="majorBidi"/>
        </w:rPr>
        <w: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The meetings, very successful meeting in Sapporo in July as part of Study Group </w:t>
      </w:r>
      <w:proofErr w:type="gramStart"/>
      <w:r w:rsidRPr="00C338E8">
        <w:rPr>
          <w:rFonts w:asciiTheme="majorBidi" w:hAnsiTheme="majorBidi" w:cstheme="majorBidi"/>
        </w:rPr>
        <w:t>16, that</w:t>
      </w:r>
      <w:proofErr w:type="gramEnd"/>
      <w:r w:rsidRPr="00C338E8">
        <w:rPr>
          <w:rFonts w:asciiTheme="majorBidi" w:hAnsiTheme="majorBidi" w:cstheme="majorBidi"/>
        </w:rPr>
        <w:t xml:space="preserve"> was a great help.  We met in October in conjunction with the Convergence Automotive Conference.  In October we were hosted by the Society Of Automotive Engineers at very strong cross participation with automotive engineers in that meeting and in that meeting was the agreement for the Automotive Engineers for cooperation and support on what was the work item that became Q27/16.</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In March again we met in Geneva in conjunction with the Geneva Auto Show and we had a very heavy participation through the flowing network car.  As we move forward we have had good participation across China, U.S., Europe and Japan.  In the activities of the CIGS effort, I appreciate very much the different organisations that have participated.  We have built very good relations.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The UN, as I mentioned before, the official name of the UN organisation is the World Forum for Harmonization of Vehicle Regulations, WP29 as it's called.  That is critical area that has working forward particularly and obviously in the communications and technology area as it becomes more and more part of the car industry.  We would appreciate anybody who would have interest in what's going on in the car industry for future regulations to participate.  We have a strong </w:t>
      </w:r>
      <w:r w:rsidRPr="00C338E8">
        <w:rPr>
          <w:rFonts w:asciiTheme="majorBidi" w:hAnsiTheme="majorBidi" w:cstheme="majorBidi"/>
        </w:rPr>
        <w:lastRenderedPageBreak/>
        <w:t>participate in the main group as well as informal groups on automated driving and emergency call, which are two that have high communications activities.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Foley network car symposium that we organized at Geneva Motor Show had a strong all day programme, good participation.  We continued to get feedback that this is a very important event and that we need to be able to better communicate to the world that this event is going forward.  We will hold the same kind of event next March at the Geneva Motor Show.  Next month in July we have the next meeting of the collaboration, and with that we have organized a workshop on how communications will change vehicles and transport.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This is supported both on the communications side by CCSA, and on the transport side by the Chinese research institute of highways, which is the key organisation for the Ministry of Transport in China.  We have received request for participation and presentations from a number of organisations looking towards the future of vehicle to vehicle communications.  Communications for automated driving, and communications in vehicles for emergency call.</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  We will hold that meeting as well with the meeting on 2/27/16 that I mentioned will be held immediately after the collaboration meeting.  So that's my summary of the presentation.  I really strongly appreciate the help, strong help we have gotten from ITU on the Secretariat and support, and I can tell you from meetings including meetings that I was in Dallas yesterday, the car industry very strongly appreciates the increased activity for ITU in the ITS and vehicle communication side and welcomes further participation by the communications experts in these difficult but important evolutions of the technology in the car.</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Mr. Shields.  So, ladies and gentlemen, the floor is open for comments, questions with regard to this presentation.  I see no one requesting the floor to thank you for your presentation, Mr. Shields, and we certainly recognize the importance of this particular work that is being undertaken.  You will note that under 17.7 of the agenda we have a reference to this initiative </w:t>
      </w:r>
      <w:r w:rsidRPr="00C338E8">
        <w:rPr>
          <w:rFonts w:asciiTheme="majorBidi" w:hAnsiTheme="majorBidi" w:cstheme="majorBidi"/>
        </w:rPr>
        <w:noBreakHyphen/>
      </w:r>
      <w:r w:rsidRPr="00C338E8">
        <w:rPr>
          <w:rFonts w:asciiTheme="majorBidi" w:hAnsiTheme="majorBidi" w:cstheme="majorBidi"/>
        </w:rPr>
        <w:noBreakHyphen/>
        <w:t xml:space="preserve"> I'm sorry there is a request for the floor from Study Group 16 Chairman.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STUDY GROUP 16:  On top of TD263, 269 you are invited to agree the collaboration of ITU standards as a pilot project.  Could you please agree on this issue?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 xml:space="preserve">&gt;&gt; CHAIRMAN:  Thank you.  I assume there is no objection to the collaboration of </w:t>
      </w:r>
      <w:proofErr w:type="gramStart"/>
      <w:r w:rsidRPr="00C338E8">
        <w:rPr>
          <w:rFonts w:asciiTheme="majorBidi" w:hAnsiTheme="majorBidi" w:cstheme="majorBidi"/>
        </w:rPr>
        <w:t>ITS</w:t>
      </w:r>
      <w:proofErr w:type="gramEnd"/>
      <w:r w:rsidRPr="00C338E8">
        <w:rPr>
          <w:rFonts w:asciiTheme="majorBidi" w:hAnsiTheme="majorBidi" w:cstheme="majorBidi"/>
        </w:rPr>
        <w:t xml:space="preserve"> to continue as a pilot project?  That is the case.  Thank you very much.  So as I was saying, in Agenda Item 17.7 there is a reference to CITS in TD307.  This Document will be considered by the rapporteur group on strengthening collaboration.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again, thank you, Mr. Shields, and we will now move back to item 15.1, Focus Group innovation.  Reference Document TD243.  I believe that the Chairman of the Focus Group Innovation is on the line to provide us with a presentation.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CHAIRMAN FOCUS GROUP INNOVATION:  Thank you, Mr. Chairman.  The Focus Group Innovation started in 2012, but this is the end of the third year of this focus group.  In first couple of years from 2012 to 2014 the Focus Group studies more than 200 innovations from various parts of the developing and the developed world, and they actually conducted meetings in Tunisia, Moscow, India and Geneva where we got huge participation from the developing world.  The result was that we were able to make contributions to the Study Group with respect to innovation that could be standardized in fields related to the communication systems, machine intelligence, mobile money and sign language communications.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deliverables during that time were to study the successful cases of ITU innovations for Developing Countries and suggest new standardization activities for ITU</w:t>
      </w:r>
      <w:r w:rsidRPr="00C338E8">
        <w:rPr>
          <w:rFonts w:asciiTheme="majorBidi" w:hAnsiTheme="majorBidi" w:cstheme="majorBidi"/>
        </w:rPr>
        <w:noBreakHyphen/>
        <w:t xml:space="preserve">T Study Groups and ICT </w:t>
      </w:r>
      <w:r w:rsidRPr="00C338E8">
        <w:rPr>
          <w:rFonts w:asciiTheme="majorBidi" w:hAnsiTheme="majorBidi" w:cstheme="majorBidi"/>
        </w:rPr>
        <w:lastRenderedPageBreak/>
        <w:t>innovation standards.  Now, in the last one year that is 2014 to current, the Focus Group based on the, you know </w:t>
      </w:r>
      <w:r w:rsidRPr="00C338E8">
        <w:rPr>
          <w:rFonts w:asciiTheme="majorBidi" w:hAnsiTheme="majorBidi" w:cstheme="majorBidi"/>
        </w:rPr>
        <w:noBreakHyphen/>
      </w:r>
      <w:r w:rsidRPr="00C338E8">
        <w:rPr>
          <w:rFonts w:asciiTheme="majorBidi" w:hAnsiTheme="majorBidi" w:cstheme="majorBidi"/>
        </w:rPr>
        <w:noBreakHyphen/>
        <w:t xml:space="preserve"> we have been basically working on the structure that could be adopted for the panel.  Now, just for a reminder, at the meeting of the Review Committee held 19 to 21 January, 2015 in Tunis was to implement the standard strategy under TSAG rather than creating a new standalone body.</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Now, based on this, we have been working and if we go to the section 8.1.1, the terms of reference for this panel or strategy group, we have identified seven terms of reference that from Item 1 to Item 7 which includes identifying analyzing and studying the best policies and practices.  That, of course, enables the development of sustainable innovations, identifying these sustainable innovations and the criterias.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We intend that this group works very closely with ITU</w:t>
      </w:r>
      <w:r w:rsidRPr="00C338E8">
        <w:rPr>
          <w:rFonts w:asciiTheme="majorBidi" w:hAnsiTheme="majorBidi" w:cstheme="majorBidi"/>
        </w:rPr>
        <w:noBreakHyphen/>
        <w:t>D to conduct studies related to role of innovation management, simulation programs in developing economies and subsequently bridging the standardization gaps.  Produced scientific reports, policy recommendations and take actions to safeguard the intellectual property rights at the request of the innovators which will be where we will be working very closely with the TSB Directors ad hoc group on IPR.</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Based on this, if we go to section 8.1.3, the expected deliverables of this ICT innovation strategy group would be policy guidelines and recommendations that advises ITU in promoting standards, that stimulate global innovations to adopt innovation stimulating policies and innovations to standardization procedures, of course, to bridge the gap the standardization gap, guidelines for Developing Countries to align the industrial and innovation strategies to reach their socioeconomic ecosystem goals.  We report new success standardization activities defined as standardization activities that are necessary for development of innovative products solutions and services., produce and annual technical report on means to stimulate innovations, and, of course, recommendations on IPR issues in accordance to the mandate of ITU and common policy for ITU</w:t>
      </w:r>
      <w:r w:rsidRPr="00C338E8">
        <w:rPr>
          <w:rFonts w:asciiTheme="majorBidi" w:hAnsiTheme="majorBidi" w:cstheme="majorBidi"/>
        </w:rPr>
        <w:noBreakHyphen/>
        <w:t>T, like I said before, work with the DSB Directors group on IPR.  I would like to invite TSAG to endorse section 8 of the report of deliverable 210 concerning the establishment of ICT innovation strategy group under TSAG, its terms of reference and structure mentioned in deliverable 2.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So, ladies and gentlemen, the floor is open for comments.  I should point out, however, before anyone takes the floor that the matter of establishing the strategic standardization function is still under review in the Review Committee.  There has been no definitive conclusion with regard to how this function will be set up, whether it will be under TSAG, whether it would be independent.  So all of those issues are still under discussion.  So I do believe that it's premature at this point to consider the possibility of establishing an ICT innovation strategy group under TSAG until those other discussions have taken place.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We certainly thank you for your contribution.  I do believe there are other matters that are included in your recommendation that would need further discussion before any kind of decision would be made in any case.  But the important point here is that the strategic standardization function is still under discussion in the Review Committee.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with that, ladies and gentlemen, are there any other comments, questions regarding this proposal?  The United States, please.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 xml:space="preserve">&gt;&gt; UNITED STATES:  Thank you, Mr. Chairman, and good afternoon, everyone.  I hate to be the only one, but so be it.  Mr. Chairman, we thank the Chair of the Focus Group on Innovation for their report.  It seems to outline a lot of issues and observations.  We do, however, note that </w:t>
      </w:r>
      <w:r w:rsidRPr="00C338E8">
        <w:rPr>
          <w:rFonts w:asciiTheme="majorBidi" w:hAnsiTheme="majorBidi" w:cstheme="majorBidi"/>
        </w:rPr>
        <w:lastRenderedPageBreak/>
        <w:t>the report identifies topics that are related to many of the activities which are ongoing and have been worked on or are being worked on in the ITU</w:t>
      </w:r>
      <w:r w:rsidRPr="00C338E8">
        <w:rPr>
          <w:rFonts w:asciiTheme="majorBidi" w:hAnsiTheme="majorBidi" w:cstheme="majorBidi"/>
        </w:rPr>
        <w:noBreakHyphen/>
        <w:t>T and even suggest that the ITU</w:t>
      </w:r>
      <w:r w:rsidRPr="00C338E8">
        <w:rPr>
          <w:rFonts w:asciiTheme="majorBidi" w:hAnsiTheme="majorBidi" w:cstheme="majorBidi"/>
        </w:rPr>
        <w:noBreakHyphen/>
        <w:t>T it seems to develop work or new work on topics which are covered in other sectors.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Mr. Chairman, as you know, there were some liaison statements that were sent in from working group 5A and 5D on the radio issue some time ago where they had asked that the Focus Group on Innovation work or suggested work would overlap on some of the work that's already being done in the R sector.  There is also the aspect of the development of the IPR policy mentioned in the report, and as you know, Mr. Chairman, the Director has his ad hoc on ITR Where the experts meet regularly where these issues are discussed and I believe that's probably the best place where the matters should be discussed because the experts are there and as we saw last year at TSAG, nowhere else is there a better place to discuss these issues than at the ITR ad hoc.</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Also there is the observation of a mobile banking which is a new Focus Group that just has been established and that would be a duplicative effort if we are doing another one or another group on this issue so that's already been discussed.  And this Focus Group has been in existence for three years now.  That's quite a long time for a Focus Group.  Usually they have nine to twelve and then maybe an extension of one more, but at any rate, looking at the terms of reference, if they do remain in existence, this Focus Group was established to bridging the standardization or the digital divide and standardization gap.</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I think that's something that is more important here rather than trying to duplicate work that's already being done.  So they should continue working with the ITU</w:t>
      </w:r>
      <w:r w:rsidRPr="00C338E8">
        <w:rPr>
          <w:rFonts w:asciiTheme="majorBidi" w:hAnsiTheme="majorBidi" w:cstheme="majorBidi"/>
        </w:rPr>
        <w:noBreakHyphen/>
        <w:t>D analyze the innovation that's may be standardized and identify best practices which can facilitate the implementation of such innovative standards in other parts of the world, and so 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Mr. Chairman, thank you, and these are our observations.</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Nokia is next, please.  I will give the floor back to the Chair once these comments have been put forward.  Nokia,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NOKIA:  Thank you for the floor, and I would like to thank the Chair of the Focus Group for the careful work.  I think the Document which is in front of us is a very good analysis of sector analysis on how innovations are happening, especially with a view to Developing Countries.  I would also like to second what the delegate from the U.S. has just said that the proposal which is given here and the Document at the end of the Document implies a lot of duplication not only in the area of the IPR policy but in other areas and we need to be careful to avoid that we are implementing additional structures and thus dilute the work of the existing structures.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 would also like to draw the attention to the previous chapter where the Focus Group has identified some areas where the ITU</w:t>
      </w:r>
      <w:r w:rsidRPr="00C338E8">
        <w:rPr>
          <w:rFonts w:asciiTheme="majorBidi" w:hAnsiTheme="majorBidi" w:cstheme="majorBidi"/>
        </w:rPr>
        <w:noBreakHyphen/>
        <w:t>T should put new additional work, and this is my understanding of the charter of the Focus Group to identify those areas where the ITU could do valuable work for the Developing Countries, and help the Study Groups to identify those areas and pick it up in the best interest of the Developing Countries.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our proposal would be instead of introducing an additional structure to give the Study Groups an opportunity to check the list of proposed areas of additional work and with this I would like to thank the Focus Group.  Thank you, Mr. Chairman.</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I see no further requests for the floor, so I would like to give the floor back to the Chairman of the Focus Group.</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&gt;&gt; CHAIRMAN OF Focus Group:  Thank you, Mr. Chair, and thank you for the comments.  Just a few of my comments on the questions raised on the floor.  When we are talking about issues related to cognitive radio, mobile banking or for that matter any other innovation or </w:t>
      </w:r>
      <w:r w:rsidRPr="00C338E8">
        <w:rPr>
          <w:rFonts w:asciiTheme="majorBidi" w:hAnsiTheme="majorBidi" w:cstheme="majorBidi"/>
        </w:rPr>
        <w:lastRenderedPageBreak/>
        <w:t>innovative area, I think that is bound to happen because the work of the Focus Group is to take out the innovations that we think did a great work for the developing country bringing to the ITU, and then see whether this could be standardized by the Study Groups.  So the Focus Group itself was not into standardization, but to dig out and give these to the various Study Groups.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With respect to the ITR, I have mentioned maybe the document might reflect, you might be seeing it a different way, but like I said a couple of times, the ITR framework would not be created by us.  Any ITR related issue will be brought in the TSB Directors ad hoc group on ITR.  So there is absolutely no intention to create a separate ITR or duplicate ITR teams.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my last comment is that, which has come from my discussions with the stakeholders in Africa and India and South Asia, basically the Developing Countries, is that we need to take steps which can get the innovators, the smaller companies who are doing some great work in the Developing Countries into the ITU fold so that what they are doing, if that could be standardized and bring benefit to the world population or to, and to the Developing Countries in particular, that would be, I think, great.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Whether it works in terms of a Focus Group or whether it works in terms of a strategy group, those modalities can be best agreed, disagreed by the TSAG committee, but the idea is that the innovations and bringing it closer to standardization, that work should continue.  That is my humble submission to the whole of the TSAG.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for that proposal.  So, ladies and gentlemen, I see no further requests for the floor.  We note the presentation of the report with thanks from the Focus Group Chairman.  We have already commented on the proposal concerning the establishment of an ICT innovation strategy group and noted that this is premature.  We have noted the comments from the floor that the report to be brought to the attention of the Study Groups for their further consideration and as well the report could be made available for the consideration of the Study Groups in the development sector.</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with that, ladies and gentlemen, I would like to conclude this matter and, again, thank the Chairman for the presentation of the report.  I would like to move onto the next items, the 15.2, the Focus Group on Aviation Cloud.  Could I ask if we have a Vice Chair available to present?  Yes, we do.  Okay.  Please proceed with the presentation of TD273.</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Thank you Mr. Chairman.  This Document provides the progress of the work of ITU</w:t>
      </w:r>
      <w:r w:rsidRPr="00C338E8">
        <w:rPr>
          <w:rFonts w:asciiTheme="majorBidi" w:hAnsiTheme="majorBidi" w:cstheme="majorBidi"/>
        </w:rPr>
        <w:noBreakHyphen/>
        <w:t>T Focus Group on innovation of Cloud Computing activities during the period of June 2014 to May 2015.  So before I proceed with the progress report, let me recap the overview and background of the Focus Group.  So the ITU</w:t>
      </w:r>
      <w:r w:rsidRPr="00C338E8">
        <w:rPr>
          <w:rFonts w:asciiTheme="majorBidi" w:hAnsiTheme="majorBidi" w:cstheme="majorBidi"/>
        </w:rPr>
        <w:noBreakHyphen/>
        <w:t>T Focus Group on innovation application of Cloud Computing for flight data monitoring or FDAC was establish the during the TSAG meeting in June 2014 with the objective to explore how information and communication technologies including Cloud Computing can support aviation application such as real time monitoring of flight data and to identify the requirement for related ICT telecommunications standards.  The Focus Group would report to TSAG itself as a parent group and we were given months to complete the study.  Since kickoff of meeting or the first meeting of FG AC took place in last December so the final meeting will be at the end of this year, December 2015.  So the chairman for the Focus Group is from the communication and mass media Malaysia and he has assisted with two Vice Chair, one from China, aviation data Communication Corporation, another vase Chair is from Australia in terms of activities, we have completed three meetings up to date out of five meetings.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The first meeting was held in Kuala Lumpur Malaysia, followed by the second meeting in February which took place in Montreal, Canada, this was posted by ICAO itself and it was </w:t>
      </w:r>
      <w:r w:rsidRPr="00C338E8">
        <w:rPr>
          <w:rFonts w:asciiTheme="majorBidi" w:hAnsiTheme="majorBidi" w:cstheme="majorBidi"/>
        </w:rPr>
        <w:lastRenderedPageBreak/>
        <w:t>back</w:t>
      </w:r>
      <w:r w:rsidRPr="00C338E8">
        <w:rPr>
          <w:rFonts w:asciiTheme="majorBidi" w:hAnsiTheme="majorBidi" w:cstheme="majorBidi"/>
        </w:rPr>
        <w:noBreakHyphen/>
        <w:t>to</w:t>
      </w:r>
      <w:r w:rsidRPr="00C338E8">
        <w:rPr>
          <w:rFonts w:asciiTheme="majorBidi" w:hAnsiTheme="majorBidi" w:cstheme="majorBidi"/>
        </w:rPr>
        <w:noBreakHyphen/>
        <w:t>back with high level security Conference where this high level security Conference FG AC was invited to participate as an observer as well as to present a paper on the FG AC overview and activities.  The third meeting took place in Geneva last morning from 18</w:t>
      </w:r>
      <w:r w:rsidRPr="00C338E8">
        <w:rPr>
          <w:rFonts w:asciiTheme="majorBidi" w:hAnsiTheme="majorBidi" w:cstheme="majorBidi"/>
          <w:vertAlign w:val="superscript"/>
        </w:rPr>
        <w:t>th</w:t>
      </w:r>
      <w:r w:rsidRPr="00C338E8">
        <w:rPr>
          <w:rFonts w:asciiTheme="majorBidi" w:hAnsiTheme="majorBidi" w:cstheme="majorBidi"/>
        </w:rPr>
        <w:t xml:space="preserve"> to 20</w:t>
      </w:r>
      <w:r w:rsidRPr="00C338E8">
        <w:rPr>
          <w:rFonts w:asciiTheme="majorBidi" w:hAnsiTheme="majorBidi" w:cstheme="majorBidi"/>
          <w:vertAlign w:val="superscript"/>
        </w:rPr>
        <w:t>th</w:t>
      </w:r>
      <w:r w:rsidRPr="00C338E8">
        <w:rPr>
          <w:rFonts w:asciiTheme="majorBidi" w:hAnsiTheme="majorBidi" w:cstheme="majorBidi"/>
        </w:rPr>
        <w:t xml:space="preserve"> of May hosted by ITU, and it will follow with a fourth meeting in Los Angeles, U.S.A., from 18</w:t>
      </w:r>
      <w:r w:rsidRPr="00C338E8">
        <w:rPr>
          <w:rFonts w:asciiTheme="majorBidi" w:hAnsiTheme="majorBidi" w:cstheme="majorBidi"/>
        </w:rPr>
        <w:noBreakHyphen/>
        <w:t>20 August.  And this meeting will be hosted by Teledyne Controls one of the aviation solution providers and, I would like to extend the invitation to all members to participate in the meeting and the final meeting is scheduled in December after the World Radio Conference 15 meeting.</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In terms of participation, we received participation from aviation and ICT communities, and the Focus Group comments made by TSB Director yesterday morning that this group is a good platform or aviation experts and ITU experts to share their lodge in this innovation ICT related activities.  We also welcome the proposal made by TSB Director made this morning for the proposal to increasing membership to ITU Focus Group participation.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Next we go to the deliverables and scope of FGAC.  The deliverables and scope of FGAC.  In the first FGAC meeting last December we identified five deliverables and two progress the work of FGAC we also established four Working Groups at the first meeting.  The working group number 1 taking care of deliverable number one where this deliverable will collect and compile technological development and technologies of future enhancement of cloud commuting.  Working group 2 will identify and describe scenarios for cloud commuting for flight data.  It will use this innovation, terminology and definition.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Working group 3 will identify issues that need to be addressed such as parameters and type of data to be transmitted through DCP of transmission, security, ownership, access, interoperability and privacy.  Potential misuse of flight data as well as cost and business models.  Working group 4 will examine the feasibility of using the same developments in commercial broadband services as well as using existing infrastructure for real time flight streaming where appropriate.  This working group will discuss feasible and highlight challenges to it.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working group and deliverable number 5, we are yet to set up any working group for this deliverable as this deliverable will have discussion at the fourth meeting, and the fifth deliverables will identify Cloud Computing standards necessary to support real time monitoring of flight data.</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Focus Group agreed to merge working group 2 and 3 as these two Working Groups are interdependent of each other.  So as of today, we have only three Working Groups covering four deliverables.  Next is about the progress of Focus Group FG AC.  We are pleased to report that progress is well.  They have completed more than 60% of their work and we are very positive to conclude Focus Group study by the end of this year.</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In terms of relationship the FG AC established several numbers of liaison and received number of liaison from different entities and organisations.  For example, last May FG AC was invited by the ISO/IEC JTC1 to discuss possible collaboration during their special working group meeting.  As a result of that, the ISO/IEC JTC1 expressed great interest in this activity, degreed to collaborate with FG AC and proposed to establish a new working item on information security code of practice for the aviation industry.  It was also proposed to consider this new work item as a joint work item between relevant ITU</w:t>
      </w:r>
      <w:r w:rsidRPr="00C338E8">
        <w:rPr>
          <w:rFonts w:asciiTheme="majorBidi" w:hAnsiTheme="majorBidi" w:cstheme="majorBidi"/>
        </w:rPr>
        <w:noBreakHyphen/>
        <w:t>T Study Groups and ISO/IEC JTC working group 1.  Liaison statement on this matter was received during our meeting last month.</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We also received strong support from ICAO which regularly updates us on the respective activities especially in flight tracking and flight monitoring activities.  We have fruitful discussion and knowledge sharing with other entities like IATA ITU</w:t>
      </w:r>
      <w:r w:rsidRPr="00C338E8">
        <w:rPr>
          <w:rFonts w:asciiTheme="majorBidi" w:hAnsiTheme="majorBidi" w:cstheme="majorBidi"/>
        </w:rPr>
        <w:noBreakHyphen/>
        <w:t>R and other stakeholders.  With that, Mr. Chairman, I invite TSAG to take note on the progress report.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lastRenderedPageBreak/>
        <w:t>&gt;&gt; CHAIRMAN:  Thank you very much for that report.  Ladies and gentlemen, the floor is open for any comments or questions.  Orange,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Orange:  Thank you, Mr. Chairman.  It's just a question for clarification.  If I understand correctly, this special Focus Group which was established for one year from the first meeting which is on the 1</w:t>
      </w:r>
      <w:r w:rsidRPr="00C338E8">
        <w:rPr>
          <w:rFonts w:asciiTheme="majorBidi" w:hAnsiTheme="majorBidi" w:cstheme="majorBidi"/>
          <w:vertAlign w:val="superscript"/>
        </w:rPr>
        <w:t>st</w:t>
      </w:r>
      <w:r w:rsidRPr="00C338E8">
        <w:rPr>
          <w:rFonts w:asciiTheme="majorBidi" w:hAnsiTheme="majorBidi" w:cstheme="majorBidi"/>
        </w:rPr>
        <w:t xml:space="preserve"> of December 2014 should, therefore, work until 2015 and another meeting in February we will receive the conclusions and outcomes from this meeting.  Have I understood this correctly,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Yes, I think that's correct.  We will complete the tasks.  The final meeting is in December, but I will ask Malaysia to confirm that.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MALAYSIA:  Yes, I confirm that.</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Please push the button on your panel with the voice symbol, and then you will be given the floor.  So Senegal, please.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SENEGAL:  Thank you, Chairman.  My question is regarding whether there is a report Senegal with the rate of communication group </w:t>
      </w:r>
      <w:r w:rsidRPr="00C338E8">
        <w:rPr>
          <w:rFonts w:asciiTheme="majorBidi" w:hAnsiTheme="majorBidi" w:cstheme="majorBidi"/>
        </w:rPr>
        <w:noBreakHyphen/>
      </w:r>
      <w:r w:rsidRPr="00C338E8">
        <w:rPr>
          <w:rFonts w:asciiTheme="majorBidi" w:hAnsiTheme="majorBidi" w:cstheme="majorBidi"/>
        </w:rPr>
        <w:noBreakHyphen/>
        <w:t xml:space="preserve"> Radio Communication group which looks at the question of flight data monitoring, because we have contributed the preparatory meeting for the WRC15 on this question.  Is there a direct communication between this question which is WRC15 and the Focus Group?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for that question.  Before I give the floor to Malaysia.  I will take the final request for the floor from NAC,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NAC:  Thank you, Mr. Chairman.  My question is a simple one.  Looking at these deliverables, these five deliverables identified here, if we assume this is the current plan of work to be completed by the end of this year when you expect to close this Focus Group, a question, is it already clear which is in terms of output, which output will bring requirements in terms of standardization, because what I understand is Document 2 and 3 has identified requirements that may be taken up by relevant expert groups like cloud computing and others are more list of existing standards or technologies.  Can you maybe briefly elaborate on that, what, where do you expect it to bring input into terms of requirement for standards.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Study Group Chairman 17, please.  Dr. Kremer.</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DR. KREMER:  Thank you, Mr. Chairman.  This is a Focus Group which was created by ITU</w:t>
      </w:r>
      <w:r w:rsidRPr="00C338E8">
        <w:rPr>
          <w:rFonts w:asciiTheme="majorBidi" w:hAnsiTheme="majorBidi" w:cstheme="majorBidi"/>
        </w:rPr>
        <w:noBreakHyphen/>
        <w:t>T and this Focus Group decided to ask another body to assist with providing any standards.  And this is my question, why you decided to do this, why you did not start from ITU</w:t>
      </w:r>
      <w:r w:rsidRPr="00C338E8">
        <w:rPr>
          <w:rFonts w:asciiTheme="majorBidi" w:hAnsiTheme="majorBidi" w:cstheme="majorBidi"/>
        </w:rPr>
        <w:noBreakHyphen/>
        <w:t>T Study Group and then maybe if necessary this Study Group will ask another body, but my understanding is that this Focus Group asked ISA to provide any standards.  This is my question, what the reason is that Focus Group which was created by ITU ask another to provide any standards for any issues.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I see no further requests for the floor, so I will give the floor back to Malaysia,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MALAYSIA:  With regard to question from Senegal, actually we end our liaison to ITU</w:t>
      </w:r>
      <w:r w:rsidRPr="00C338E8">
        <w:rPr>
          <w:rFonts w:asciiTheme="majorBidi" w:hAnsiTheme="majorBidi" w:cstheme="majorBidi"/>
        </w:rPr>
        <w:noBreakHyphen/>
        <w:t>R specifically to working party 5A and 4C if I’m not mistaken so share our finding on the communication part of the aviation communication and ITU</w:t>
      </w:r>
      <w:r w:rsidRPr="00C338E8">
        <w:rPr>
          <w:rFonts w:asciiTheme="majorBidi" w:hAnsiTheme="majorBidi" w:cstheme="majorBidi"/>
        </w:rPr>
        <w:noBreakHyphen/>
        <w:t>R, specially working for 5A can make use of that draft report to further study the communication aspect in relation to the Conference.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On the question from Chairman of Study Group 17, If I'm not mistaken, the Focus Group does not intend to create any standard at this moment, but we intend to provide input and outcome </w:t>
      </w:r>
      <w:r w:rsidRPr="00C338E8">
        <w:rPr>
          <w:rFonts w:asciiTheme="majorBidi" w:hAnsiTheme="majorBidi" w:cstheme="majorBidi"/>
        </w:rPr>
        <w:noBreakHyphen/>
      </w:r>
      <w:r w:rsidRPr="00C338E8">
        <w:rPr>
          <w:rFonts w:asciiTheme="majorBidi" w:hAnsiTheme="majorBidi" w:cstheme="majorBidi"/>
        </w:rPr>
        <w:noBreakHyphen/>
        <w:t xml:space="preserve"> input and a report should there be any body standard need to be created in the future.  And with respect </w:t>
      </w:r>
      <w:r w:rsidRPr="00C338E8">
        <w:rPr>
          <w:rFonts w:asciiTheme="majorBidi" w:hAnsiTheme="majorBidi" w:cstheme="majorBidi"/>
        </w:rPr>
        <w:lastRenderedPageBreak/>
        <w:t>to the question from </w:t>
      </w:r>
      <w:r w:rsidRPr="00C338E8">
        <w:rPr>
          <w:rFonts w:asciiTheme="majorBidi" w:hAnsiTheme="majorBidi" w:cstheme="majorBidi"/>
        </w:rPr>
        <w:noBreakHyphen/>
      </w:r>
      <w:r w:rsidRPr="00C338E8">
        <w:rPr>
          <w:rFonts w:asciiTheme="majorBidi" w:hAnsiTheme="majorBidi" w:cstheme="majorBidi"/>
        </w:rPr>
        <w:noBreakHyphen/>
        <w:t xml:space="preserve"> can you repeat that gentleman's question?</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MAC,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Thank you, Mr. Chair.  Simply my question is where do you expect to bring requirement standardization, are these two deliverables 2 and 3 where you expect to complete the identification of requirements for use cases?  That's the area where you expect to bring requirement for standardization.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Malaysia.</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MALAYSIA:  As we see on the screen, deliverable 1 is to identify the current relevant cloud computing and analytics as well as the emerging technologies deliver 2 and 3 to identify the use cases and requirement needed for aviation industry, 4 for the communication system of the sector and five to identify the real time monitoring of flight data.  As I mentioned in my presentation just now, we are yet to discuss on the identification of relevant cloud computing standards for this real time monitoring of flight data.</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the deliverable 5 we will discuss this issue with, we started to identify this issue on our fourth meeting.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Study Group 17 Chairman again.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&gt;&gt; STUDY GROUP 17 CHAIRMAN:  It is understanding that Focus Group does not provide any standards.  I ask another question.  Focus Group provides standardization gap, and if I understood correctly, Focus Group would like to ask or maybe ask yet another SGO as SC27 was mentioned, about providing any standards.  And my question is what </w:t>
      </w:r>
      <w:proofErr w:type="gramStart"/>
      <w:r w:rsidRPr="00C338E8">
        <w:rPr>
          <w:rFonts w:asciiTheme="majorBidi" w:hAnsiTheme="majorBidi" w:cstheme="majorBidi"/>
        </w:rPr>
        <w:t>is the procedure</w:t>
      </w:r>
      <w:proofErr w:type="gramEnd"/>
      <w:r w:rsidRPr="00C338E8">
        <w:rPr>
          <w:rFonts w:asciiTheme="majorBidi" w:hAnsiTheme="majorBidi" w:cstheme="majorBidi"/>
        </w:rPr>
        <w:t>?  Why Focus Group which was created by ITU</w:t>
      </w:r>
      <w:r w:rsidRPr="00C338E8">
        <w:rPr>
          <w:rFonts w:asciiTheme="majorBidi" w:hAnsiTheme="majorBidi" w:cstheme="majorBidi"/>
        </w:rPr>
        <w:noBreakHyphen/>
        <w:t>T asked another SGO about supporting and providing standards.  This is my question.</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  I don't believe there are any requests for the floor, to I will give the floor back to Malaysia.</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MALAYSIA:  Thank you, Mr. Chairman.  Under my presentation on the relationship just now I didn't mention any request or we, I mean, Focus Group didn't ask any standardization body to come up with any standard whatsoever, but the ISO/IE JTC1 expressed great interest on this activity and they proposed a new working item on the information security code of practice, not standard if I'm not mistaken.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Okay.  Thank you very much.  So I see no further requests for the floor.  So thank you very much for your progress report, and we have noted your activities and note that the Focus Group will conclude its work by the end of the year and will report its findings to the next meeting of TSAG in February.  I would like to move 15.3.  The Focus Group on INT2020 recently established by Study Group 13.  I would like to give the floor to the Chairman of Study Group 13 Mr. Lehmann to present TD247,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LEHMANN:  As I have presented to Study Group during my presentation yesterday, I will do it quite shortly.  The objective of the Focus Group is to identify the study areas and goals for future studies by ITU Study Group 13 on IMT2020 and 5G system area and that should be done in alignment with other important SDOs and what is very important to point out that the studies focusing on 5G networks on the non</w:t>
      </w:r>
      <w:r w:rsidRPr="00C338E8">
        <w:rPr>
          <w:rFonts w:asciiTheme="majorBidi" w:hAnsiTheme="majorBidi" w:cstheme="majorBidi"/>
        </w:rPr>
        <w:noBreakHyphen/>
        <w:t>radio related part.  I think that's very important, it's the non</w:t>
      </w:r>
      <w:r w:rsidRPr="00C338E8">
        <w:rPr>
          <w:rFonts w:asciiTheme="majorBidi" w:hAnsiTheme="majorBidi" w:cstheme="majorBidi"/>
        </w:rPr>
        <w:noBreakHyphen/>
        <w:t>radio related part.  This Focus Group is looking into.</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time frame of this group is very limited.  They shall report their findings at Study Group 13 meeting, end of November, beginning of December this year.  First, let me create your awareness that the first meeting will be held next week in San Diego on Monday and Tuesday.  Thank you very much.</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lastRenderedPageBreak/>
        <w:t>&gt;&gt; CHAIRMAN:  Thank you very much.  The floor is open for any further comments on this.  Canada, please.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CANADA:  Thank you, Chairman.  I believe there is a typo in the first page where it says Canada, I believe it to be China.</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Mr. Lehmann, I believe that's correct.  It's Huawei Canada.</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LEHMANN:  The location of the company is indeed in Canada, but it's Huawei.</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Canada, please.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 xml:space="preserve">&gt;&gt; CANADA:  There is a company in Canada called Huawei, but that company is not a sector member to Canada and in this case I believe </w:t>
      </w:r>
      <w:proofErr w:type="gramStart"/>
      <w:r w:rsidRPr="00C338E8">
        <w:rPr>
          <w:rFonts w:asciiTheme="majorBidi" w:hAnsiTheme="majorBidi" w:cstheme="majorBidi"/>
        </w:rPr>
        <w:t>it's</w:t>
      </w:r>
      <w:proofErr w:type="gramEnd"/>
      <w:r w:rsidRPr="00C338E8">
        <w:rPr>
          <w:rFonts w:asciiTheme="majorBidi" w:hAnsiTheme="majorBidi" w:cstheme="majorBidi"/>
        </w:rPr>
        <w:t xml:space="preserve"> Huawei, China.</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That will be corrected it will simply refer to Huawei.  Okay.  Thank you very much for that presentation.  We see that there is a very ambitious schedule of meetings for this year starting next week in San Diego.  So I know there is a great deal of interest in this activity, and I'm sure there will be a very interesting report provided to TSAG at the next meeting.</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Now, on the next item 15.4, the proposal to revise A.7, could I ask the rapporteur responsible for working methods if this matter is being discussed in the rapporteur group?  It is.  Okay.  So that would include C55 presented to your group?  Yes.  I’ll give you the floor.</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RAPPORTEUR:  Thank you, Mr. Chairman.  Yes.  Indeed.  This contribution we already presented it during yesterday's rapporteur groups meeting.  We also discussed it in next, at the next meeting.  We will surely report.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Could I also ask you with respect to the items under item 18 of our agenda on electronic working methods whether all of these documents have been addressed in your rapporteur group?</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RAPPORTEUR:  Thank you, Mr. Chairman.  We have another contribution by China.  Yesterday we didn't discuss it at our rapporteur group meeting.  We plan to discuss it at tomorrow's meeting, but we have some contributions which we have already discussed including remote access guidelines, and 8.1, 3.1.2.  These we have discussed.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Orange,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Orange:  Thank you, Mr. Chairman.  As well as associate reporter on working methods I would like to confirm that I have clarified all of the lists on 18 of the agenda have been included on the agenda, therefore, we will address this point tomorrow.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So, ladies and gentlemen, I think it's a good time to take a coffee break.  The items under 17 will all be addressed in the rapporteur group.  The items concerning the intra ITU collaboration and coordination under 17.8 will be dealt with tomorrow in the meeting of the rapporteur group, and as you have just heard, the electronic working methods will, these documents will be dealt with in the rapporteur group on working methods as well.</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we will be after coffee discussing some items that appear on the agenda for Friday.  So I think this will facilitate our discussion on some of the more difficult issues that are before us that immediate to be resolved, so we will try to complete as many of these items as possible, and then, of course, tomorrow is the meeting of the rapporteur groups.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So we do have some scheduling issues to discuss over the coffee break, so I will break for coffee now.  It's now 4:00 and I would ask you to return at approximately 20 minutes past 4:00.  Thank you.  </w:t>
      </w:r>
    </w:p>
    <w:p w:rsidR="00414E94" w:rsidRPr="00C338E8" w:rsidRDefault="00212FD0" w:rsidP="00C45410">
      <w:pPr>
        <w:pStyle w:val="Fixed"/>
        <w:ind w:left="1276" w:right="-44" w:firstLine="0"/>
        <w:rPr>
          <w:rFonts w:asciiTheme="majorBidi" w:hAnsiTheme="majorBidi" w:cstheme="majorBidi"/>
        </w:rPr>
      </w:pPr>
      <w:r w:rsidRPr="00C338E8">
        <w:rPr>
          <w:rFonts w:asciiTheme="majorBidi" w:hAnsiTheme="majorBidi" w:cstheme="majorBidi"/>
        </w:rPr>
        <w:t>(Break).</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 xml:space="preserve">&gt;&gt; CHAIRMAN:  Before I move to the Agenda Items for consideration I would like to clarify </w:t>
      </w:r>
      <w:r w:rsidRPr="00C338E8">
        <w:rPr>
          <w:rFonts w:asciiTheme="majorBidi" w:hAnsiTheme="majorBidi" w:cstheme="majorBidi"/>
        </w:rPr>
        <w:lastRenderedPageBreak/>
        <w:t>the schedule of meetings tomorrow.  We now have a meeting this afternoon, which I'm sure that you are quite enthused about.  The rapporteur group on working methods will shift its meeting to this evening.  They will begin immediately after the closure of this in this room and work will 7:30.  The rapporteur group on working methods will meet in this room today at 1730 and work until 1900 hours.  So in place of the slot tomorrow morning, 9:30 to 11:00 that was allocated to the rapporteur group on working methods this is being allocated to ad hoc group concerning the issues associated with the establishment of an IoT Study Group for smart sustainable cities.  That will take place from 9:30 until 11:00 in this room.  The group on collaboration will begin at 11:30 for one hour and continue after lunch and there are no meetings scheduled for lunch time at least not so far.  There will be a meeting of the rapporteur group on collaboration and the sub group on intra ITU collaboration and cooperation or I'm sorry, coordination will meet in room A in the first half of the afternoon.  That is 1430</w:t>
      </w:r>
      <w:r w:rsidRPr="00C338E8">
        <w:rPr>
          <w:rFonts w:asciiTheme="majorBidi" w:hAnsiTheme="majorBidi" w:cstheme="majorBidi"/>
        </w:rPr>
        <w:noBreakHyphen/>
        <w:t>1600 hours.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At 1630</w:t>
      </w:r>
      <w:r w:rsidRPr="00C338E8">
        <w:rPr>
          <w:rFonts w:asciiTheme="majorBidi" w:hAnsiTheme="majorBidi" w:cstheme="majorBidi"/>
        </w:rPr>
        <w:noBreakHyphen/>
        <w:t>1730 the group on strengthening collaboration will continue and then hopefully by then you will have completed your work, but if not it will continue into the evening from 1800 to 2000 hours.  The working methods rapporteur group will meet in this room from 1730 to 1900.  Tomorrow morning will be the ad hoc group on IoT from 9:30 to 11:00.  The rapporteur group on strengthening collaboration from 1130</w:t>
      </w:r>
      <w:r w:rsidRPr="00C338E8">
        <w:rPr>
          <w:rFonts w:asciiTheme="majorBidi" w:hAnsiTheme="majorBidi" w:cstheme="majorBidi"/>
        </w:rPr>
        <w:noBreakHyphen/>
        <w:t>to 12:30.  The rapporteur group on strengthening collaboration will continue at 1430</w:t>
      </w:r>
      <w:r w:rsidRPr="00C338E8">
        <w:rPr>
          <w:rFonts w:asciiTheme="majorBidi" w:hAnsiTheme="majorBidi" w:cstheme="majorBidi"/>
        </w:rPr>
        <w:noBreakHyphen/>
        <w:t>1600 in parallel with the rapporteur group, sub group on intra ITU collaboration and coordination.  The rapporteur group on strengthening collaboration will continue at 1630</w:t>
      </w:r>
      <w:r w:rsidRPr="00C338E8">
        <w:rPr>
          <w:rFonts w:asciiTheme="majorBidi" w:hAnsiTheme="majorBidi" w:cstheme="majorBidi"/>
        </w:rPr>
        <w:noBreakHyphen/>
        <w:t>1730 and then continue in this room at 1800 to 2000 hours.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I hope that's clear yes, the United States, please.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UNITED STATES:  Mr. Chairman, clear as mud!  There a way to update the time plan with that </w:t>
      </w:r>
      <w:r w:rsidRPr="00C338E8">
        <w:rPr>
          <w:rFonts w:asciiTheme="majorBidi" w:hAnsiTheme="majorBidi" w:cstheme="majorBidi"/>
        </w:rPr>
        <w:noBreakHyphen/>
      </w:r>
      <w:r w:rsidRPr="00C338E8">
        <w:rPr>
          <w:rFonts w:asciiTheme="majorBidi" w:hAnsiTheme="majorBidi" w:cstheme="majorBidi"/>
        </w:rPr>
        <w:noBreakHyphen/>
        <w:t xml:space="preserve"> thank you very much.</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Yes.  I now would like to give the floor to Mr. Beasi,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Thank you, Mr. Chairman.  To make quicker our meeting at 9:30 I hope to be able to post an input this evening so work on </w:t>
      </w:r>
      <w:r w:rsidRPr="00C338E8">
        <w:rPr>
          <w:rFonts w:asciiTheme="majorBidi" w:hAnsiTheme="majorBidi" w:cstheme="majorBidi"/>
        </w:rPr>
        <w:noBreakHyphen/>
      </w:r>
      <w:r w:rsidRPr="00C338E8">
        <w:rPr>
          <w:rFonts w:asciiTheme="majorBidi" w:hAnsiTheme="majorBidi" w:cstheme="majorBidi"/>
        </w:rPr>
        <w:noBreakHyphen/>
        <w:t xml:space="preserve"> watch carefully so we will have hopefully a smooth meeting.  Thank you. </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We will be resuming our agenda at this point.  I would ask you to move to Friday's agenda.  And the first item on conformance and interoperability this is a liaison statement Study Group 11, reference Document TD245, and I would like to give the floor to Mr. Boateng from Ghana to provide you with the information associated with TD245, Ghana, please.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GHANA:  Thank you very much, Mr. Chairman, and thanks for the opportunity given to me to throw more light on this liaison statement.  Just as you indicated, it is the formation of the TSAG.  Mr. Chairman before I proceed with the context of the statement or the liaison statement, I want to give a little bit of a background as what we have gotten to so far.  So this cognition procedure process began some 18 months ago an initial contribution that was sent by the administration of Russia.  So out of that a correspondence group was set up that I got the opportunity to Chair the group.</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deliverables of the correspondence group was actually sent for Study Group 11 for concentration and, again, we are lucky to have the participation of the </w:t>
      </w:r>
      <w:r w:rsidRPr="00C338E8">
        <w:rPr>
          <w:rFonts w:asciiTheme="majorBidi" w:hAnsiTheme="majorBidi" w:cstheme="majorBidi"/>
        </w:rPr>
        <w:noBreakHyphen/>
      </w:r>
      <w:r w:rsidRPr="00C338E8">
        <w:rPr>
          <w:rFonts w:asciiTheme="majorBidi" w:hAnsiTheme="majorBidi" w:cstheme="majorBidi"/>
        </w:rPr>
        <w:noBreakHyphen/>
        <w:t xml:space="preserve"> and other interested appears to participate and other industry stakeholders as well.  So what very have gotten to so far is the fact that at the last Study Group 11 meeting, Study Group 11 approved guidelines on recognition procedure that is actually contained in the TD7 to rev 1 </w:t>
      </w:r>
      <w:r w:rsidRPr="00C338E8">
        <w:rPr>
          <w:rFonts w:asciiTheme="majorBidi" w:hAnsiTheme="majorBidi" w:cstheme="majorBidi"/>
        </w:rPr>
        <w:noBreakHyphen/>
      </w:r>
      <w:r w:rsidRPr="00C338E8">
        <w:rPr>
          <w:rFonts w:asciiTheme="majorBidi" w:hAnsiTheme="majorBidi" w:cstheme="majorBidi"/>
        </w:rPr>
        <w:noBreakHyphen/>
        <w:t xml:space="preserve"> 729 rev 1.  Guidelines eligible to test ICT equipment against ITU recommendations in ITU list of recognized testing </w:t>
      </w:r>
      <w:r w:rsidRPr="00C338E8">
        <w:rPr>
          <w:rFonts w:asciiTheme="majorBidi" w:hAnsiTheme="majorBidi" w:cstheme="majorBidi"/>
        </w:rPr>
        <w:lastRenderedPageBreak/>
        <w:t>laboratory as well as the criteria for appointment of ITU</w:t>
      </w:r>
      <w:r w:rsidRPr="00C338E8">
        <w:rPr>
          <w:rFonts w:asciiTheme="majorBidi" w:hAnsiTheme="majorBidi" w:cstheme="majorBidi"/>
        </w:rPr>
        <w:noBreakHyphen/>
        <w:t>T technical experts.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This guideline also describes ITU</w:t>
      </w:r>
      <w:r w:rsidRPr="00C338E8">
        <w:rPr>
          <w:rFonts w:asciiTheme="majorBidi" w:hAnsiTheme="majorBidi" w:cstheme="majorBidi"/>
        </w:rPr>
        <w:noBreakHyphen/>
        <w:t>T Conformity Assessment Steering Committee that is and terms of reference is contained in this Document as Annex.  As a result it was carried out and concluded, Study Group 11 meeting actually decided or provided I continue with the Chairmanship of this steering committee basically to discuss some of the issues that have to be discussed or that have so been considered as par as the topic is concerned.  So the aim of this discussion will talk about the details for the testing laboratory including issues such as the ideas.  Recognition procedure including some operational issues such as retaining recognition so that is part of the committee that has been set up.</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just to end, Mr. Chairman, the steering committee or the Study Group 11 has sent a liaison to Study Group inviting participation of experts to be part of this steering committee and begin our discussions going forward.  In a nutshell, Mr. Chairman, I would like to conclude by referring you to the terms of reference to the steering committee that is contained in the Annex.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for that presentation.  Ladies and gentlemen, the floor is open for comments or questions.  I see a representative from IEC.</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IEC:  Thank you very much, Mr. Chair, and thank you very much for the presentation.  I see that there is right at the end there a statement about the management and accreditation systems that are already in use in the IEC, and I would strongly encourage this accreditation group to make use and to listen and talk to the conformity assessment systems that the IEC has in place on this particular subject.  Thank you very much, Mr. Chairman.  We have a lot of experience in this area.  Thank you very much, Mr. Chairman.</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Yes, thank you very much for that information.  Canada, please.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CANADA:  Thank you, Chairman.  A question for clarification.  Is this a new committee going to have our operational focus?  Is that the role of the Study Group in ITU</w:t>
      </w:r>
      <w:r w:rsidRPr="00C338E8">
        <w:rPr>
          <w:rFonts w:asciiTheme="majorBidi" w:hAnsiTheme="majorBidi" w:cstheme="majorBidi"/>
        </w:rPr>
        <w:noBreakHyphen/>
        <w:t>T?  Managing conformity assessment systems of the IEC and ILAC?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I will give the floor back to Mr. Boateng shortly.  I have another request for the floor from Nokia,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NOKIA:  Thank you, Mr. Chairman.  I also would have a question for clarification not only on the function what does it mean that the ITU recognizes certain test laboratories, but also the question as far as I understand the legal system in many areas of the world conformity assessment has a legal meeting and typically the conformity assessment is done against essential requirements like safety.  Is it the intention that the Study Group 11 also performed tests in these areas or identifies ITU recommendations in this area or it's the intention to perform tests in the area of interoperability on telecommunication networks?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Yes, Mr. Boateng,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BOATENG:  Thank you very much, Mr. Chairman.  I will take the question in the reverse form.  I will begin with the clarity that has been sought by Nokia so indicate that some of these issue legal issues or issues that have been pointed out by Nokia is the reason why the steering committee has been set up.  As a matter of fact, the whole recognition procedure we are looking at it from three high level principles, number one is to have a procedure in place that we will use to identify ITU</w:t>
      </w:r>
      <w:r w:rsidRPr="00C338E8">
        <w:rPr>
          <w:rFonts w:asciiTheme="majorBidi" w:hAnsiTheme="majorBidi" w:cstheme="majorBidi"/>
        </w:rPr>
        <w:noBreakHyphen/>
        <w:t>T technical expert to be part of the recognition process, and, of course, also to be recognized by the IEC and the ILAC.  That is number one.  Number two is also to possibility of certain updates steering committee and take care of the aspects some of which have been clearly indicated or raised by the colleague from Nokia.</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lastRenderedPageBreak/>
        <w:t>So that responsibility or that duty will be handled by the steering committee in our subsequent meetings going forward.  The third one was also to have a standing collaboration with IEC and ILAC in the conformity assessment procedure.  So I will say that this has been discussed and it will be discussed in subsequent meetings.  Coming to the question posed by Canada, again, I will say that it's also one of the issues that will be considered at the steering committee meetings, which is due to take place, I think, in December, the first week in December.</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colleagues from Canada and Study Group experts to participate in this steering committee meeting to nail down some of the decision that's have been reached.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Yes, thank you very much.  I note in the Document that was presented to the ITU Council just recently, in the discussion concerning the conformance and interoperability testing programme, the status report that was presented that the final item indicates that under the lead of IEC, the world standards cooperation will organise nice WSC Confirmative Assessment Workshop as Mr. Boateng has noted on the 2</w:t>
      </w:r>
      <w:r w:rsidRPr="00C338E8">
        <w:rPr>
          <w:rFonts w:asciiTheme="majorBidi" w:hAnsiTheme="majorBidi" w:cstheme="majorBidi"/>
          <w:vertAlign w:val="superscript"/>
        </w:rPr>
        <w:t>nd</w:t>
      </w:r>
      <w:r w:rsidRPr="00C338E8">
        <w:rPr>
          <w:rFonts w:asciiTheme="majorBidi" w:hAnsiTheme="majorBidi" w:cstheme="majorBidi"/>
        </w:rPr>
        <w:t xml:space="preserve"> and 3</w:t>
      </w:r>
      <w:r w:rsidRPr="00C338E8">
        <w:rPr>
          <w:rFonts w:asciiTheme="majorBidi" w:hAnsiTheme="majorBidi" w:cstheme="majorBidi"/>
          <w:vertAlign w:val="superscript"/>
        </w:rPr>
        <w:t>rd</w:t>
      </w:r>
      <w:r w:rsidRPr="00C338E8">
        <w:rPr>
          <w:rFonts w:asciiTheme="majorBidi" w:hAnsiTheme="majorBidi" w:cstheme="majorBidi"/>
        </w:rPr>
        <w:t xml:space="preserve"> of December to enhance global conformity assessment.  This is under the lead of IEC, but the WSC has agreed to participate in this process.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thank you for that presentation, and I see request for the floor from the Study Group 15 Chairman.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Thank you, Mr. Chairman, following some of the links from this report and sighing this test lab recognition procedure, I also find another link from a, to a living list of Study Group 11 of technologies to be tested and if I follow that link, I see 21 particular technologies that are listed.  So is it the intention to one by one these 21 different technologies, yes or no, is this particular test lab qualified to test these 21 items or is there some other approach that is envisioned?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I ask Mr. Boateng to respond,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BOATENG:  Thank you very much, Mr. Chairman.  At this point what I would like to say is, yes, the list of technology is connected to the laboratory recognition procedure, and as you are aware, it is a database that the laboratories or allowable entities or vendors have been actually posted on the database or uploaded.  What we are doing here at this point is the fact that we will actually begin the steering committee processes to make sure these issues that have been discussed are actually discussed before implementation is done or is taking place.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Blackberry,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BLACKBERRY:  Thank you, Mr. Chairman.  I have some questions on the criteria for recognizing testing laboratory and recognition procedures that are enclosed in 8 and 9 of the Document.  In the case an organisation is already accredited, 17,025, does it mean this organisation has to redo a full procedure to ITU</w:t>
      </w:r>
      <w:r w:rsidRPr="00C338E8">
        <w:rPr>
          <w:rFonts w:asciiTheme="majorBidi" w:hAnsiTheme="majorBidi" w:cstheme="majorBidi"/>
        </w:rPr>
        <w:noBreakHyphen/>
        <w:t>T CASC?</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Mr. Boateng,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BOATENG:  Mr. Chairman, again, this issue was raised in discussions, this issue was actually raised by ILAC and IEC and experts that participated in the meeting, and that is the reason why I have indicated in my presentation that we are looking for a collaboration as one of the key high level requirements that we will try to avoid some of this duplication that will happen as far as this recognition process is concerned.</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again, the issue has been sorted out, and I don't think we are going to do a duplicate recognition procedure when a company or event has already been done.  When the ITU or the ILAC has actually recognized it.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Blackberry,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&gt;&gt; BLACKBERRY:  Thank you.  Let me try again.  An organisation doesn't need to be ILAC </w:t>
      </w:r>
      <w:r w:rsidRPr="00C338E8">
        <w:rPr>
          <w:rFonts w:asciiTheme="majorBidi" w:hAnsiTheme="majorBidi" w:cstheme="majorBidi"/>
        </w:rPr>
        <w:lastRenderedPageBreak/>
        <w:t>member to be IEC17025 compliant or conform ant or pass all of these accreditations.  This Document clearly states that to be recognized by the ITU</w:t>
      </w:r>
      <w:r w:rsidRPr="00C338E8">
        <w:rPr>
          <w:rFonts w:asciiTheme="majorBidi" w:hAnsiTheme="majorBidi" w:cstheme="majorBidi"/>
        </w:rPr>
        <w:noBreakHyphen/>
        <w:t>T there is two options, option 1 is to have ITU</w:t>
      </w:r>
      <w:r w:rsidRPr="00C338E8">
        <w:rPr>
          <w:rFonts w:asciiTheme="majorBidi" w:hAnsiTheme="majorBidi" w:cstheme="majorBidi"/>
        </w:rPr>
        <w:noBreakHyphen/>
        <w:t>T commend indication in the scope of testing.  Option 2 is assess whether they are an ILAC member or not.  That seems very restrictive and I'm concerned by those restrictions.</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Before I give the floor back to Mr. Boateng, I see a request for the floor from Orange,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ORANGE:  Thank you, Mr. Chairman.  Just out of curiosity, are we asking TSAG to establish this group or is this committee already created by Study Group 11?  And if yes, I'm not sure if this is the case what is the text that has been used to create this committee?  What is the resolution?  What is the recommendation so to say that has been used as a reference?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The answer to part of that question is has been established under Study Group 11 but I will give the floor to Mr. Boateng,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BOATENG:  Mr. Chairman.  You are right we are taking the authority to Study Group 11, and, again, we are taking authority from resolution 78.  That is actually talking about conformance and interoperability.  So I think we are clear on that.  The question about if a company or vendor has not been recognized by ILAC or ITU what is the procedure or process?  I will say that is a matter of an operational issue that has to be discussed at the operational level or the conformity assessment steering committee level.  As a matter of fact, a whole lot of issues have been raised as far as these issues are concerned, and that is why Study Group 11 thought it wise to set up the steering committee to discuss these issues going forward.</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So with no further requests for the floor, I would see that we do have a request from the floor.  Nokia,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&gt;&gt; NOKIA:  Yes, thank you, Chair.  Since I mentioned the term steering committee, I'm not quite sure whether I understand the role of the steering committee.  It's not a Focus Group, it's not the Study Group, it's not the JRG, one of the well-known coordination activities, and typically in other organisations a steering committee would have some voting rights, Rules of Procedures, how to come to an opinion.  Have there been any thoughts about the status of this group in Study Group 11? </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Mr. Boateng,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BOATENG:  Mr. Chairman, if you permit me, if you go through the Document, you will realize that our scope of activities and also our strategies have been clearly indicated.  We will report and meetings will be held under Study Group 11 so I will say the Study Group 11 is the parent body that the steering committee will be reporting to.  I’ll say the work of the steering committee is under the mandate or auspices of Study Group 11.</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 xml:space="preserve">&gt;&gt; CHAIRMAN:  Thank you very much.  So perhaps if there are any further questions, they could be handled off line.  So that we can progress through our agenda.  Now, ladies and gentlemen, I would like to give you some indication of what my intentions are for the rest of the day.  I would next like to go to item 21.1 a report from the Last World Standards Cooperation meeting, go to 21.2 on the Global Standards Collaboration meeting planned for July of this year.  The items under ISO IEC JDC 1, I would deal with those and I would like to emphasize, we will not be dealing with IPR issues today.  We will deal with that on Friday. </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We would then, time permitting, go to the items under item 26 although we already have addressed the item under TD268, so we will see how we progress, and then that should be, that should complete our work for the day.  So I understand there won't be a formal presentation of </w:t>
      </w:r>
      <w:r w:rsidRPr="00C338E8">
        <w:rPr>
          <w:rFonts w:asciiTheme="majorBidi" w:hAnsiTheme="majorBidi" w:cstheme="majorBidi"/>
        </w:rPr>
        <w:lastRenderedPageBreak/>
        <w:t>TD222 under 21.1 on the report of the WSC.  The action for TSAG is to note this Document.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as you can under the global Standards Collaboration that ITU is hosting this meeting on the 15</w:t>
      </w:r>
      <w:r w:rsidRPr="00C338E8">
        <w:rPr>
          <w:rFonts w:asciiTheme="majorBidi" w:hAnsiTheme="majorBidi" w:cstheme="majorBidi"/>
          <w:vertAlign w:val="superscript"/>
        </w:rPr>
        <w:t>th</w:t>
      </w:r>
      <w:r w:rsidRPr="00C338E8">
        <w:rPr>
          <w:rFonts w:asciiTheme="majorBidi" w:hAnsiTheme="majorBidi" w:cstheme="majorBidi"/>
        </w:rPr>
        <w:t xml:space="preserve"> and 16</w:t>
      </w:r>
      <w:r w:rsidRPr="00C338E8">
        <w:rPr>
          <w:rFonts w:asciiTheme="majorBidi" w:hAnsiTheme="majorBidi" w:cstheme="majorBidi"/>
          <w:vertAlign w:val="superscript"/>
        </w:rPr>
        <w:t>th</w:t>
      </w:r>
      <w:r w:rsidRPr="00C338E8">
        <w:rPr>
          <w:rFonts w:asciiTheme="majorBidi" w:hAnsiTheme="majorBidi" w:cstheme="majorBidi"/>
        </w:rPr>
        <w:t xml:space="preserve"> of July here in Geneva, and this will be preceded by a two</w:t>
      </w:r>
      <w:r w:rsidRPr="00C338E8">
        <w:rPr>
          <w:rFonts w:asciiTheme="majorBidi" w:hAnsiTheme="majorBidi" w:cstheme="majorBidi"/>
        </w:rPr>
        <w:noBreakHyphen/>
        <w:t>day meeting of the Focus Group on IMT2020.  So the Monday and Tuesday will be the Focus Group and the GSC will be Wednesday and Thursday.  So this will be held in mid-July.  I don't believe there is any further information on the GSC meeting except that the ITU is actively planning for this meeting in association with the participating standards organisations of the GSC.  Now, under 21.3 there has been discussion between </w:t>
      </w:r>
      <w:r w:rsidRPr="00C338E8">
        <w:rPr>
          <w:rFonts w:asciiTheme="majorBidi" w:hAnsiTheme="majorBidi" w:cstheme="majorBidi"/>
        </w:rPr>
        <w:noBreakHyphen/>
      </w:r>
      <w:r w:rsidRPr="00C338E8">
        <w:rPr>
          <w:rFonts w:asciiTheme="majorBidi" w:hAnsiTheme="majorBidi" w:cstheme="majorBidi"/>
        </w:rPr>
        <w:noBreakHyphen/>
        <w:t xml:space="preserve"> I we like to give the floor to the Director,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DIRECTOR:  Thank you Mr. Chairman.  Regarding the GSC, we have organize steering committee for the GSC because we recognize with one and ITU</w:t>
      </w:r>
      <w:r w:rsidRPr="00C338E8">
        <w:rPr>
          <w:rFonts w:asciiTheme="majorBidi" w:hAnsiTheme="majorBidi" w:cstheme="majorBidi"/>
        </w:rPr>
        <w:noBreakHyphen/>
        <w:t>T is very important.  We are hosting of that steering committee of this item will be important linked with the GSC for your information.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Okay.  Thank you very much.  So under item 21.3, ISO IEC JDC1, I understand that the newly appointed JDC liaison officer Mr. Jim Macfie has discussed the report with the ITU</w:t>
      </w:r>
      <w:r w:rsidRPr="00C338E8">
        <w:rPr>
          <w:rFonts w:asciiTheme="majorBidi" w:hAnsiTheme="majorBidi" w:cstheme="majorBidi"/>
        </w:rPr>
        <w:noBreakHyphen/>
        <w:t>T liaison officer JDC1 Mr. Dubuisson and they have agreed that the report from Mr. Dubuisson would be the one presented.  This is TD209 rev 1.  With respect to the following Document TD203, revision 1, this matter has been resolved, so there is no need to deal with it here.  But at this point I would like to give the floor to Mr. Dubuisson to present Document TD209 rev 1.</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DUBUISSON:  Thank you, Mr. Chairman.  I'm here as an officer for JTC1.  I was going to put forward certain items in this report I will not present all of it in detail.  We can move onto resolution 10 on the common projects between ITU</w:t>
      </w:r>
      <w:r w:rsidRPr="00C338E8">
        <w:rPr>
          <w:rFonts w:asciiTheme="majorBidi" w:hAnsiTheme="majorBidi" w:cstheme="majorBidi"/>
        </w:rPr>
        <w:noBreakHyphen/>
        <w:t>T and JTC1 to take note that JTC1 is considered at the same level as TSAG and hope to have a little bit more visibility on the common projects.  This is common text between the Study Groups of ITU and the subcommittee of JTC 1 in resolution 11, JTC 1 asks the systematic manner that the common texts which are freely available in ITU</w:t>
      </w:r>
      <w:r w:rsidRPr="00C338E8">
        <w:rPr>
          <w:rFonts w:asciiTheme="majorBidi" w:hAnsiTheme="majorBidi" w:cstheme="majorBidi"/>
        </w:rPr>
        <w:noBreakHyphen/>
        <w:t>T should be automatically available, and I should remind you there is a special agreement between ITU</w:t>
      </w:r>
      <w:r w:rsidRPr="00C338E8">
        <w:rPr>
          <w:rFonts w:asciiTheme="majorBidi" w:hAnsiTheme="majorBidi" w:cstheme="majorBidi"/>
        </w:rPr>
        <w:noBreakHyphen/>
        <w:t>T and either between the common texts.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these are not freely available ITU</w:t>
      </w:r>
      <w:r w:rsidRPr="00C338E8">
        <w:rPr>
          <w:rFonts w:asciiTheme="majorBidi" w:hAnsiTheme="majorBidi" w:cstheme="majorBidi"/>
        </w:rPr>
        <w:noBreakHyphen/>
        <w:t>T, but perhaps a little bit later on.  In resolution 12.  JTC 1 recognizes the term short name to identify common projects rather than using the longer term and this terminology which you have here is examples in front of you, AVC, HEVC, RMCP, et cetera, this terminology will be used at the time for development of the common projects, therefore, I propose that we would inform the Study Groups of this but following discussions with Mr. Macfie we would propose that perhaps these principles should be included in recommendation A .23 as you would look at this recommendation and implement it in the living lists for recommendations from A23 rather than will include it in this list.  In resolution 13 JTC 1 decided to have a more coherent use of terminology between collaboration and cooperation.  And thinks that the term coordination is no longer necessary.</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Some of you will remember that we had a discussion within the Review Committee on this.  So in the same vein, Mr. Macfie and myself, to integrate this in the living list which I think will be useful on the strengthening collaboration group if I'm not mistaken, and we would keep this in our archives and would apply it when we change resolution A23 and for resolution 14 there is a certain number of best practices working together on common text between JTC 1 and Study Groups of ITU</w:t>
      </w:r>
      <w:r w:rsidRPr="00C338E8">
        <w:rPr>
          <w:rFonts w:asciiTheme="majorBidi" w:hAnsiTheme="majorBidi" w:cstheme="majorBidi"/>
        </w:rPr>
        <w:noBreakHyphen/>
        <w:t>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Mr. Macfie and </w:t>
      </w:r>
      <w:proofErr w:type="gramStart"/>
      <w:r w:rsidRPr="00C338E8">
        <w:rPr>
          <w:rFonts w:asciiTheme="majorBidi" w:hAnsiTheme="majorBidi" w:cstheme="majorBidi"/>
        </w:rPr>
        <w:t>myself</w:t>
      </w:r>
      <w:proofErr w:type="gramEnd"/>
      <w:r w:rsidRPr="00C338E8">
        <w:rPr>
          <w:rFonts w:asciiTheme="majorBidi" w:hAnsiTheme="majorBidi" w:cstheme="majorBidi"/>
        </w:rPr>
        <w:t xml:space="preserve"> feel that when new projects are implemented between ISO and JTC 1, we would add these to recommendation A23 if we decide to change these.  Resolution 17, JTC 1 </w:t>
      </w:r>
      <w:r w:rsidRPr="00C338E8">
        <w:rPr>
          <w:rFonts w:asciiTheme="majorBidi" w:hAnsiTheme="majorBidi" w:cstheme="majorBidi"/>
        </w:rPr>
        <w:lastRenderedPageBreak/>
        <w:t>recognizes that the website of ITU has been very well developed regarding the list of common text.  And, therefore, will remain on the ITU site.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 would just like to add a field on the page which could be common documents.  So this is what I propose is quite simple.  So the working methods group which looks at electronic working methods which have been included here in the list of actions for TSB and this will be looked at in the meeting for this evening.  So a little bit more technical aspects now, JTC has created a working group on Internet of Things.  We should understand full well that we are speaking about something which is the equivalent of a question in ITU.</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It is not something which is of the size of a Study Group, and, therefore, it is attached to JTC1 and it could be coming under terms and definitions.  Obviously this links have already been established.  To enter activity, and this week there will be discussion about possible Study Group on IoT, but that's something which we will have to have the necessary links there.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JTC 1 also set up a group on Smart Cities, and here we have we have a group of JTC 1.  This is different from the Study Group concept of the ITU.  A Study Group, no, but it could be something closer to our Focus Group here in ITU.  If you look at the terms of reference, it speaks about investigation.  In other words, we should see what is it that JTC 1 could do in particular on standardization for the Smart Cities taking into act which has already been achieved.</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Next we have Resolution Number 28 on big data.  Here again, this is a working group challenged is linked to JTC 1 and because it's a Working Group it will produce standards.  Now, with regard to this particular working group, the links exist already there is liaison with Study Group 13 and as soon as plenary session of JTC 1 will occur in September or October, it will be immediate linkage with TSAG.</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Now, resolution 5 we have here global standards collaboration here, and there is a parent organisations are ISO and IEC.  It is intended that they do whatever they can do so that they become members of JTC 1.  JTC does not anticipate itself who will seek membership.  Section 6 you have mentioned Mr. Macfie has replaced Madame Auber. </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The floor is open for comments or questions or clarification, ladies and gentlemen.  UAE,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UEA:  Thank you very much, Mr. Chairman.  I would like to thank Mr. Dubuisson for introducing his Document.  I have a question, Mr. Chair for clarification regarding action from TSAG to the various Study Groups.  I see proposed action on resolutions on this Document that TSAG is to manufacture the Study Groups and ask them to implement such resolution.  So does TSAG ask them to implement or consider such regulations, discussion for clarification?  I don't think it's for the Study Groups to implement such resolution, but for them to consider.  Thank you.  Mr. Chairman.</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Saudi Arabia, please.</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SAUDI ARABIA:  Thank you, Mr. Chairman.  I would like to thank Mr. Dubuisson and Mr. Macfie for the report.  And so far as resolution 13 is concerned, I believe this resolution was discussed and I'm not sure what is it that we are asking here under action proposed we ask to consider this resolution in the framework of further action to be taken.  I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Yes, thank you for the question.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&gt;&gt; MR. DUBUISSON:  Thank you, Mr. Chairman.  Yes, indeed, replying to the question of the emirate, the word consider is going to be more appropriate than implement.  I have no problem in replacing the word implement by consider.  Now, with regard to the two last speakers, introducing this Document we are not going to send any liaison statements to the Study Groups at </w:t>
      </w:r>
      <w:r w:rsidRPr="00C338E8">
        <w:rPr>
          <w:rFonts w:asciiTheme="majorBidi" w:hAnsiTheme="majorBidi" w:cstheme="majorBidi"/>
        </w:rPr>
        <w:lastRenderedPageBreak/>
        <w:t>this stage.  Instead we will list various proposals of JTC 1 and a living list and this list will be used on the day when we decide to amend recommendation 8.23.  Mr. Macfie may provide additional information, of course.  But it is not our wish unless it's absolutely essential to modify the recommendation 8.23.  We have done it last year and we wish it to remain stable for a number of years.  I hope I was clear, Mr. Chairman.  (A .23).  It says TSAG to send a liaison statement to Study Groups.  This time we are not going to do so.</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We would rather use the second part which says this resolution could also be taken into account, et cetera.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for those clarifications.  So I see no further requests for the floor.  So thank you very much.  And to Mr. Macfie for the presentation of this information.  So, ladies and gentlemen, we have reached the point of item 26 concerning publications.  We have a Document from the Chairman of Study Group 17.  This is a liaison statement and comments on non</w:t>
      </w:r>
      <w:r w:rsidRPr="00C338E8">
        <w:rPr>
          <w:rFonts w:asciiTheme="majorBidi" w:hAnsiTheme="majorBidi" w:cstheme="majorBidi"/>
        </w:rPr>
        <w:noBreakHyphen/>
        <w:t>normative ITU</w:t>
      </w:r>
      <w:r w:rsidRPr="00C338E8">
        <w:rPr>
          <w:rFonts w:asciiTheme="majorBidi" w:hAnsiTheme="majorBidi" w:cstheme="majorBidi"/>
        </w:rPr>
        <w:noBreakHyphen/>
        <w:t>T publications.  So the reference Document is TD235 I would like to give the floor to Dr. Kremer, Chairman of Study Group 17,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ARKADIY KREMER: Thank you, Mr. Chairman Study Group 17 at its January 2014 meeting discussed non</w:t>
      </w:r>
      <w:r w:rsidRPr="00C338E8">
        <w:rPr>
          <w:rFonts w:asciiTheme="majorBidi" w:hAnsiTheme="majorBidi" w:cstheme="majorBidi"/>
        </w:rPr>
        <w:noBreakHyphen/>
        <w:t>normative publications with reference to TSAG TD041.</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And we provided a set of comments we think it's reasonable to put into account further work on this paper.  And this our suggestion.  So we are waiting for the results what TSAG is going to do, maybe what they are going to do with our suggestions.  Partly </w:t>
      </w:r>
      <w:proofErr w:type="gramStart"/>
      <w:r w:rsidRPr="00C338E8">
        <w:rPr>
          <w:rFonts w:asciiTheme="majorBidi" w:hAnsiTheme="majorBidi" w:cstheme="majorBidi"/>
        </w:rPr>
        <w:t>it's</w:t>
      </w:r>
      <w:proofErr w:type="gramEnd"/>
      <w:r w:rsidRPr="00C338E8">
        <w:rPr>
          <w:rFonts w:asciiTheme="majorBidi" w:hAnsiTheme="majorBidi" w:cstheme="majorBidi"/>
        </w:rPr>
        <w:t xml:space="preserve"> very small changes, but we see that it's necessary to change more serious things.  So we provided special table for suggested changes, and we are looking forward to get the response on these suggested changes for publications.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We give the floor to Mr. Scholl to comment.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SCHOLL:  Thank you, Mr. Chairman.  So this Lee say done makes reference to a Document that TSD published in 2013 for TSAG so since then that was you a couple of years ago.  We have revisited the policy.  We are going to take your suggestions into account, and I think it might be useful to issue another Document which listed the current policy so there are not that many changes, numerous documents are available on line for free and perhaps we should public a revision of this Document that we published in 2013 with the latest changes.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Just to summarize quickly what's all available free of charge, the Focus Group publications, the tech. watch reports and the workshop proceedings, technical papers tutorials, our WTSA resolutions, the ITU</w:t>
      </w:r>
      <w:r w:rsidRPr="00C338E8">
        <w:rPr>
          <w:rFonts w:asciiTheme="majorBidi" w:hAnsiTheme="majorBidi" w:cstheme="majorBidi"/>
        </w:rPr>
        <w:noBreakHyphen/>
        <w:t>T recommendations in PDF format once they have been edited, implement aside, operations bulletin, online databases, promotion alter, so that refers to the electronic version.  So maybe we should summarize this again and public a TD on this.</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Yes, Dr. Kremer,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DR. KREMER:  Thank you very much for this positive response to take into account our suggestion.  Study Group 17 would be happy to work together for improving this paper to provide additional explanations and, again, thank you for your readiness to work on the basis of our discussion.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So if we could go to the next item.  I do believe we have already addressed the proposed text for the revision of recommendation A .12 reference Document being 268.  I would like to go to the next Document, TD276.</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We began discussing this yesterday in the report from Study Group 9 concerning the pilot implementation in Study Group 9, I'd like to give the floor to the Chairman of Study Group 9, Mr. Webster, to provide further information concerning this pilot.  Mr. Webster,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lastRenderedPageBreak/>
        <w:t>&gt;&gt; MR. WEBSTER:  Thank you, Mr. Chair.  Good afternoon, everyone.  As you may recall I briefly showed our Study Group 9 pilot on implementation of resolution 80, but today I would like to begin by reminding people about resolution 80 from WTSA12.  It's titled acknowledging the active involvement of the membership in the development of ITU</w:t>
      </w:r>
      <w:r w:rsidRPr="00C338E8">
        <w:rPr>
          <w:rFonts w:asciiTheme="majorBidi" w:hAnsiTheme="majorBidi" w:cstheme="majorBidi"/>
        </w:rPr>
        <w:noBreakHyphen/>
        <w:t>T deliverables.</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in particular, it instructs the telecommunications standardization advisory group the study options of how to clearly acknowledge signature contributors to the development of Study Group deliverables.  That's one.  And, two, to define in consultation with the ITU membership objective criteria that will guide Study Groups in identifying such significant contributors.  So TD276 rev 1 has actually been rev 2, but I don't think it has not been posted.  I just emailed it to Reinhard, but I can go through the exchanges and it should show up sometime tomorrow, probably.</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in Study Group 9, we began to implement this pilot based on direction from TSAG to do so, and we came up with four different items that we were going to start implementing and those are seen on the first page of this contribution right there, those four bulleted items, encourage, and I will go through them quickly, encourage the use of bibliography references.  We are doing that now, encouraging contributors and rapporteurs to include bibliographic references to papers, books, et cetera, that might be applicable or were used in the creation of a recommendation.</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This will help contribute, it will help get acknowledgment to the people that wrote those papers or books.  Second, to list ITU</w:t>
      </w:r>
      <w:r w:rsidRPr="00C338E8">
        <w:rPr>
          <w:rFonts w:asciiTheme="majorBidi" w:hAnsiTheme="majorBidi" w:cstheme="majorBidi"/>
        </w:rPr>
        <w:noBreakHyphen/>
        <w:t>T recommendations within IAAA Xplore, web of science or Google Scholar.  This this is still under study.  It looks like Google Scholar will be the first choice but we will report on that in the future.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Now, yesterday, I showed the mock</w:t>
      </w:r>
      <w:r w:rsidRPr="00C338E8">
        <w:rPr>
          <w:rFonts w:asciiTheme="majorBidi" w:hAnsiTheme="majorBidi" w:cstheme="majorBidi"/>
        </w:rPr>
        <w:noBreakHyphen/>
        <w:t>up of items 3 and 4 on the Study Group web pain, create a page for each study period that acknowledges all rapporteurs, editors, contributors, Chairs, and attendees and on the publication of a given ITU</w:t>
      </w:r>
      <w:r w:rsidRPr="00C338E8">
        <w:rPr>
          <w:rFonts w:asciiTheme="majorBidi" w:hAnsiTheme="majorBidi" w:cstheme="majorBidi"/>
        </w:rPr>
        <w:noBreakHyphen/>
        <w:t>T recommendation create a page which lists the author whose did submit at least one contribution.  Now, if you will scroll down a little bit, you don't happen to have the latest revision that I emailed, do you?  No.  Okay.</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these changes show links to where the actual implementations have been put into the Web page and I did show those on Tuesday, so we probably don't need to look at them again, but I did want to scroll down a little further to the Annex which is a Document that's on the SG9 web page showing the implementation details, the Study Group 9 guidelines.  This is where I have made changes based upon comments I received on Monday </w:t>
      </w:r>
      <w:r w:rsidRPr="00C338E8">
        <w:rPr>
          <w:rFonts w:asciiTheme="majorBidi" w:hAnsiTheme="majorBidi" w:cstheme="majorBidi"/>
        </w:rPr>
        <w:noBreakHyphen/>
      </w:r>
      <w:r w:rsidRPr="00C338E8">
        <w:rPr>
          <w:rFonts w:asciiTheme="majorBidi" w:hAnsiTheme="majorBidi" w:cstheme="majorBidi"/>
        </w:rPr>
        <w:noBreakHyphen/>
        <w:t xml:space="preserve"> on Tuesday from the floor some in talking after the meeting.  So in this case, the changes were made to Item 3 there.  We can start there.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And these were to enhance the privacy of these lists, because as currently or as initially implemented, they were </w:t>
      </w:r>
      <w:r w:rsidRPr="00C338E8">
        <w:rPr>
          <w:rFonts w:asciiTheme="majorBidi" w:hAnsiTheme="majorBidi" w:cstheme="majorBidi"/>
        </w:rPr>
        <w:noBreakHyphen/>
      </w:r>
      <w:r w:rsidRPr="00C338E8">
        <w:rPr>
          <w:rFonts w:asciiTheme="majorBidi" w:hAnsiTheme="majorBidi" w:cstheme="majorBidi"/>
        </w:rPr>
        <w:noBreakHyphen/>
        <w:t xml:space="preserve"> would be open, open to the world.  And so the list of Chairs, Vice Chairs, working party </w:t>
      </w:r>
      <w:proofErr w:type="gramStart"/>
      <w:r w:rsidRPr="00C338E8">
        <w:rPr>
          <w:rFonts w:asciiTheme="majorBidi" w:hAnsiTheme="majorBidi" w:cstheme="majorBidi"/>
        </w:rPr>
        <w:t>Chairs</w:t>
      </w:r>
      <w:proofErr w:type="gramEnd"/>
      <w:r w:rsidRPr="00C338E8">
        <w:rPr>
          <w:rFonts w:asciiTheme="majorBidi" w:hAnsiTheme="majorBidi" w:cstheme="majorBidi"/>
        </w:rPr>
        <w:t>, working party Vice Chairs, Focus Group Chairs, et cetera, those are already public, so they would remain public, but we would limit that to the management team that was actually present at the meeting as a result of one comment.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If you scroll down a little bit further, we have a list of rapporteurs and associate rapporteurs, editors, and attendees.  The attendees will now be only visible if you have an account and there will be a link to the participant list prepared by TSB at every meeting.  And for the rapporteurs, editors and main contributors, those will require </w:t>
      </w:r>
      <w:proofErr w:type="gramStart"/>
      <w:r w:rsidRPr="00C338E8">
        <w:rPr>
          <w:rFonts w:asciiTheme="majorBidi" w:hAnsiTheme="majorBidi" w:cstheme="majorBidi"/>
        </w:rPr>
        <w:t>an opt</w:t>
      </w:r>
      <w:proofErr w:type="gramEnd"/>
      <w:r w:rsidRPr="00C338E8">
        <w:rPr>
          <w:rFonts w:asciiTheme="majorBidi" w:hAnsiTheme="majorBidi" w:cstheme="majorBidi"/>
        </w:rPr>
        <w:t xml:space="preserve"> in for their names and affiliation to be available on the open web page.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 xml:space="preserve">So it's a little difficult to explain that without seeing the revised text, but hopefully the revised text will be there tomorrow, and you could either approve it now based on my description or you could wait and look at it tomorrow as you wish.  I will pause now for any questions.  Thank you, </w:t>
      </w:r>
      <w:r w:rsidRPr="00C338E8">
        <w:rPr>
          <w:rFonts w:asciiTheme="majorBidi" w:hAnsiTheme="majorBidi" w:cstheme="majorBidi"/>
        </w:rPr>
        <w:lastRenderedPageBreak/>
        <w:t>Mr. Chairman.</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Orange,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ORANGE:  Thank you, Mr. Chairman.  Now, I look at section 4.  From our point of view, the first indent is the one which should be favored, that is publication page of each recommendation on the website.  We have already said that time and again in the past at the World Assembly as well.  We do not think that a separate section or additional Annex would be useful.  Now, with regard to the last two lines, to consult with ITU legal to insure, has this been done already?  And are there any answers provided?</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UAE,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UAE:  Thank you very much, Mr. Chairman.  And I recall the suggestions at the WTSA in Dubai, and the base of this resolution comes from a contribution from Brazil and a small drafting group was convened at that time to look at this resolution and the main aim was to recognize that academia members and the work of different Study Groups.  So even if you look at the resolution, you will see that in the considering part, many parts of considering is emphasized on academia, universities and associated research establishments.  Therefore, Mr. Chairman, if it's possible maybe in the Web page to have official section for academia rather than joining them with the other.  For example, if an academia member contributed to the work of a specific Study Group, then maybe we can have a special section for academia.  This is to encourage more academia members and encourage them to submit contributions to the Study Groups.  Thank you, Mr. Chairman.</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 xml:space="preserve">&gt;&gt; CHAIRMAN:  Thank you.  Saudi Arabia, please. </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SAUDI ARABIA:  I would like to thank the Chair of SG9.  I'll repeat, I would like to thank the Chair of Study Group 9 for this presentation.  Further, I would like to know whether other SGOs are carrying out similar work to ours.  Has similar work been carried out?  Now, under section 4, how are we going to distinguish between those who have made a major contribution to the recommendation and others who made a token contribution?  Obviously their contributions will also be taken into account, but there are some who contribute more than the others.  How do we distinguish between them?  Thank you.</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Mr. Webster, please.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&gt;&gt; MR. WEBSTER:  Thank you, Mr. Chairman.  I will try to answer the questions in order.  The question from Orange, currently we do not have a way to include the list within the recommendation, although we are still looking at that and ITU legal hasn't either answered or we haven't given them a clear enough question for them to answer, so that's still to be done.</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However, we are implementing, you know, other things that are leading up to that.  I personally think it would be a good idea to have those in there so that The Web of Science and Google Scholar can search the PDF on the Web page and find those authors or major contributors.  That's what we are choosing to call them now.  And put it into their Google Scholar, for example.  So we are working on that.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I understand that Orange doesn't like that.  We were thinking of maybe having an invisible page that had that information that only the Google Scholar could see, but we are still looking at that.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The second question from UAE on a special indicator for academia, on the page where we list the contributors, which is a link on the Study Group 9 web page, we can put an asterisk if you, if they think that's a good idea that indicates which are academic members.  That would be perfectly acceptable although we kind of tend to think we don't want to make too much of a distinction because everyone is a good contributor.  So having two minutes left, I will try to wrap it up.</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lastRenderedPageBreak/>
        <w:t>As far as Saudi Arabia's question on how other SGO's do it, we started off with a contribution about two years ago, actually a study done by the TSB that indicated aid number of different SGOs and how they handle acknowledgment.  ITF does it one way, ISO does it another way, so we have taken that into account, and while we work on this way.  Second question about major and minor, that at the moment, we are going to leave that to the rapporteurs to decide who only changed one word and who wrote half of the recommendation or all of it.</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Clearly that needs to change if that particular method doesn't work.  So I'm asking for TSAG's action in this liaison.  We can, in my opinion, either continue studying it, continue implementing it.  You could choose to allow other Study Groups to implement the way we have done three and four on a voluntary basis if they so desired.  Remember, everything is voluntary and there are a lot of changes I have put into the next rev of this that indicate or that address privacy concerns that think I are very good and I urge you to look at that draft or that revision tomorrow or Friday.  Thank you, Mr. Chairman.</w:t>
      </w:r>
    </w:p>
    <w:p w:rsidR="00414E94" w:rsidRPr="00C338E8" w:rsidRDefault="00212FD0" w:rsidP="00C45410">
      <w:pPr>
        <w:pStyle w:val="Colloquy"/>
        <w:ind w:left="1276" w:right="-44" w:firstLine="0"/>
        <w:rPr>
          <w:rFonts w:asciiTheme="majorBidi" w:hAnsiTheme="majorBidi" w:cstheme="majorBidi"/>
        </w:rPr>
      </w:pPr>
      <w:r w:rsidRPr="00C338E8">
        <w:rPr>
          <w:rFonts w:asciiTheme="majorBidi" w:hAnsiTheme="majorBidi" w:cstheme="majorBidi"/>
        </w:rPr>
        <w:t>&gt;&gt; CHAIRMAN:  Thank you very much, Mr. Webster.  I have three further requests for the floor, and we are effectively out of time at this point, but I will return to this issue on Friday when the revised Document is available so that everyone has an opportunity to read the revisions.  So I will give the floor to Mr. Menkin who has requested the floor, to I.E.C. and to Orange and we will return to the subject in the meeting on Friday.  So we are obliged to close the meeting at this point.  We </w:t>
      </w:r>
      <w:r w:rsidRPr="00C338E8">
        <w:rPr>
          <w:rFonts w:asciiTheme="majorBidi" w:hAnsiTheme="majorBidi" w:cstheme="majorBidi"/>
        </w:rPr>
        <w:noBreakHyphen/>
      </w:r>
      <w:r w:rsidRPr="00C338E8">
        <w:rPr>
          <w:rFonts w:asciiTheme="majorBidi" w:hAnsiTheme="majorBidi" w:cstheme="majorBidi"/>
        </w:rPr>
        <w:noBreakHyphen/>
        <w:t xml:space="preserve"> it's now 5:30, and I reiterate that the rapporteur group on working methods will now convene it's meeting until 1900 hours, and that we have a full slate of meetings scheduled for tomorrow.</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So rather than go over it again, I think it's suffice to indicate that these are very important meetings.  They will serve as a basis.  The outcome will serve as a basis for decision making on Friday.  So with that, ladies and gentlemen, have a good evening, and we will see you again in plenary on Friday, and don't forget that we begin our deliberations at 0900 on Friday morning.  So meeting is adjourned.  Thank you.</w:t>
      </w:r>
    </w:p>
    <w:p w:rsidR="00414E94" w:rsidRPr="00C338E8" w:rsidRDefault="00212FD0" w:rsidP="00C45410">
      <w:pPr>
        <w:pStyle w:val="ContinCol"/>
        <w:ind w:left="1276" w:right="-44" w:firstLine="0"/>
        <w:rPr>
          <w:rFonts w:asciiTheme="majorBidi" w:hAnsiTheme="majorBidi" w:cstheme="majorBidi"/>
        </w:rPr>
      </w:pPr>
      <w:r w:rsidRPr="00C338E8">
        <w:rPr>
          <w:rFonts w:asciiTheme="majorBidi" w:hAnsiTheme="majorBidi" w:cstheme="majorBidi"/>
        </w:rPr>
        <w:t>(Meeting adjourned).</w:t>
      </w:r>
    </w:p>
    <w:p w:rsidR="00212FD0" w:rsidRPr="00C338E8" w:rsidRDefault="00212FD0" w:rsidP="00C45410">
      <w:pPr>
        <w:pStyle w:val="Centered"/>
        <w:ind w:left="1276" w:right="-44" w:firstLine="0"/>
        <w:rPr>
          <w:rFonts w:asciiTheme="majorBidi" w:hAnsiTheme="majorBidi" w:cstheme="majorBidi"/>
        </w:rPr>
      </w:pPr>
      <w:r w:rsidRPr="00C338E8">
        <w:rPr>
          <w:rFonts w:asciiTheme="majorBidi" w:hAnsiTheme="majorBidi" w:cstheme="majorBidi"/>
        </w:rPr>
        <w:t xml:space="preserve">*** </w:t>
      </w:r>
    </w:p>
    <w:p w:rsidR="00212FD0" w:rsidRPr="00C338E8" w:rsidRDefault="00212FD0" w:rsidP="00C45410">
      <w:pPr>
        <w:ind w:left="1276" w:right="-44" w:firstLine="0"/>
        <w:rPr>
          <w:rFonts w:asciiTheme="majorBidi" w:hAnsiTheme="majorBidi" w:cstheme="majorBidi"/>
        </w:rPr>
      </w:pPr>
      <w:r w:rsidRPr="00C338E8">
        <w:rPr>
          <w:rFonts w:asciiTheme="majorBidi" w:hAnsiTheme="majorBidi" w:cstheme="majorBidi"/>
        </w:rPr>
        <w:t>This text is being provided in a rough draft Format.  Communication Access Realtime Translation (CART) or captioning are provided in order to facilitate communication accessibility and may not be a totally verbatim record of the proceedings.</w:t>
      </w:r>
    </w:p>
    <w:p w:rsidR="00212FD0" w:rsidRPr="00C338E8" w:rsidRDefault="00212FD0" w:rsidP="00C45410">
      <w:pPr>
        <w:pStyle w:val="Centered"/>
        <w:ind w:left="1276" w:right="-44" w:firstLine="0"/>
        <w:rPr>
          <w:rFonts w:asciiTheme="majorBidi" w:hAnsiTheme="majorBidi" w:cstheme="majorBidi"/>
        </w:rPr>
      </w:pPr>
      <w:r w:rsidRPr="00C338E8">
        <w:rPr>
          <w:rFonts w:asciiTheme="majorBidi" w:hAnsiTheme="majorBidi" w:cstheme="majorBidi"/>
        </w:rPr>
        <w:t xml:space="preserve">*** </w:t>
      </w:r>
    </w:p>
    <w:p w:rsidR="00212FD0" w:rsidRPr="00C338E8" w:rsidRDefault="00212FD0" w:rsidP="00C45410">
      <w:pPr>
        <w:ind w:left="1276" w:right="-44" w:firstLine="0"/>
        <w:rPr>
          <w:rFonts w:asciiTheme="majorBidi" w:hAnsiTheme="majorBidi" w:cstheme="majorBidi"/>
        </w:rPr>
      </w:pPr>
    </w:p>
    <w:p w:rsidR="00212FD0" w:rsidRPr="00C338E8" w:rsidRDefault="00212FD0" w:rsidP="00C45410">
      <w:pPr>
        <w:pStyle w:val="Fixed"/>
        <w:ind w:left="1276" w:firstLine="0"/>
        <w:rPr>
          <w:rFonts w:asciiTheme="majorBidi" w:hAnsiTheme="majorBidi" w:cstheme="majorBidi"/>
        </w:rPr>
      </w:pPr>
    </w:p>
    <w:sectPr w:rsidR="00212FD0" w:rsidRPr="00C338E8">
      <w:pgSz w:w="12240" w:h="15840"/>
      <w:pgMar w:top="1440" w:right="1440" w:bottom="1440" w:left="45"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FD0"/>
    <w:rsid w:val="00212FD0"/>
    <w:rsid w:val="002C75A9"/>
    <w:rsid w:val="00414E94"/>
    <w:rsid w:val="00796D97"/>
    <w:rsid w:val="00955F27"/>
    <w:rsid w:val="00B76BA3"/>
    <w:rsid w:val="00C338E8"/>
    <w:rsid w:val="00C454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331B038-4000-45CD-BFDC-053FF7F50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Fixed"/>
    <w:uiPriority w:val="99"/>
    <w:qFormat/>
    <w:pPr>
      <w:widowControl w:val="0"/>
      <w:autoSpaceDE w:val="0"/>
      <w:autoSpaceDN w:val="0"/>
      <w:adjustRightInd w:val="0"/>
      <w:spacing w:after="0" w:line="285" w:lineRule="atLeast"/>
      <w:ind w:left="1440" w:right="-45" w:firstLine="720"/>
    </w:pPr>
    <w:rPr>
      <w:rFonts w:ascii="Courier New" w:hAnsi="Courier New" w:cs="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xed">
    <w:name w:val="Fixed"/>
    <w:pPr>
      <w:widowControl w:val="0"/>
      <w:autoSpaceDE w:val="0"/>
      <w:autoSpaceDN w:val="0"/>
      <w:adjustRightInd w:val="0"/>
      <w:spacing w:after="0" w:line="285" w:lineRule="atLeast"/>
      <w:ind w:left="1440" w:right="-45" w:firstLine="720"/>
    </w:pPr>
    <w:rPr>
      <w:rFonts w:ascii="Courier New" w:hAnsi="Courier New" w:cs="Courier New"/>
      <w:sz w:val="24"/>
      <w:szCs w:val="24"/>
    </w:rPr>
  </w:style>
  <w:style w:type="paragraph" w:customStyle="1" w:styleId="Question">
    <w:name w:val="Question"/>
    <w:basedOn w:val="Fixed"/>
    <w:next w:val="Fixed"/>
    <w:uiPriority w:val="99"/>
    <w:pPr>
      <w:spacing w:line="570" w:lineRule="atLeast"/>
    </w:pPr>
  </w:style>
  <w:style w:type="paragraph" w:customStyle="1" w:styleId="Answer">
    <w:name w:val="Answer"/>
    <w:basedOn w:val="Fixed"/>
    <w:next w:val="Fixed"/>
    <w:uiPriority w:val="99"/>
    <w:pPr>
      <w:spacing w:line="570" w:lineRule="atLeast"/>
    </w:pPr>
  </w:style>
  <w:style w:type="paragraph" w:customStyle="1" w:styleId="Colloquy">
    <w:name w:val="Colloquy"/>
    <w:basedOn w:val="Fixed"/>
    <w:next w:val="Fixed"/>
    <w:uiPriority w:val="99"/>
  </w:style>
  <w:style w:type="paragraph" w:customStyle="1" w:styleId="Left1">
    <w:name w:val="Left 1"/>
    <w:basedOn w:val="Fixed"/>
    <w:next w:val="Fixed"/>
    <w:uiPriority w:val="99"/>
    <w:pPr>
      <w:ind w:firstLine="432"/>
    </w:pPr>
  </w:style>
  <w:style w:type="paragraph" w:customStyle="1" w:styleId="Left2">
    <w:name w:val="Left 2"/>
    <w:basedOn w:val="Fixed"/>
    <w:next w:val="Fixed"/>
    <w:uiPriority w:val="99"/>
    <w:pPr>
      <w:ind w:firstLine="432"/>
    </w:pPr>
  </w:style>
  <w:style w:type="paragraph" w:customStyle="1" w:styleId="Left3">
    <w:name w:val="Left 3"/>
    <w:basedOn w:val="Fixed"/>
    <w:next w:val="Fixed"/>
    <w:uiPriority w:val="99"/>
  </w:style>
  <w:style w:type="paragraph" w:customStyle="1" w:styleId="Centered">
    <w:name w:val="Centered"/>
    <w:basedOn w:val="Fixed"/>
    <w:next w:val="Fixed"/>
    <w:uiPriority w:val="99"/>
    <w:pPr>
      <w:ind w:firstLine="432"/>
      <w:jc w:val="center"/>
    </w:pPr>
  </w:style>
  <w:style w:type="paragraph" w:customStyle="1" w:styleId="Right1">
    <w:name w:val="Right 1"/>
    <w:basedOn w:val="Fixed"/>
    <w:next w:val="Fixed"/>
    <w:uiPriority w:val="99"/>
    <w:pPr>
      <w:ind w:firstLine="432"/>
    </w:pPr>
  </w:style>
  <w:style w:type="paragraph" w:customStyle="1" w:styleId="Right2">
    <w:name w:val="Right 2"/>
    <w:basedOn w:val="Fixed"/>
    <w:next w:val="Fixed"/>
    <w:uiPriority w:val="99"/>
    <w:pPr>
      <w:ind w:firstLine="432"/>
    </w:pPr>
  </w:style>
  <w:style w:type="paragraph" w:customStyle="1" w:styleId="Right3">
    <w:name w:val="Right 3"/>
    <w:basedOn w:val="Fixed"/>
    <w:next w:val="Fixed"/>
    <w:uiPriority w:val="99"/>
    <w:pPr>
      <w:ind w:firstLine="432"/>
    </w:pPr>
  </w:style>
  <w:style w:type="paragraph" w:customStyle="1" w:styleId="0Style">
    <w:name w:val="0 Style"/>
    <w:basedOn w:val="Fixed"/>
    <w:next w:val="Fixed"/>
    <w:uiPriority w:val="99"/>
    <w:pPr>
      <w:spacing w:line="570" w:lineRule="atLeast"/>
      <w:ind w:firstLine="432"/>
    </w:pPr>
  </w:style>
  <w:style w:type="paragraph" w:customStyle="1" w:styleId="Normal1">
    <w:name w:val="Normal 1"/>
    <w:basedOn w:val="Fixed"/>
    <w:next w:val="Fixed"/>
    <w:uiPriority w:val="99"/>
    <w:pPr>
      <w:spacing w:line="570" w:lineRule="atLeast"/>
      <w:ind w:firstLine="432"/>
    </w:pPr>
  </w:style>
  <w:style w:type="paragraph" w:customStyle="1" w:styleId="Normal2">
    <w:name w:val="Normal 2"/>
    <w:basedOn w:val="Fixed"/>
    <w:next w:val="Fixed"/>
    <w:uiPriority w:val="99"/>
    <w:pPr>
      <w:spacing w:line="570" w:lineRule="atLeast"/>
      <w:ind w:firstLine="432"/>
    </w:pPr>
  </w:style>
  <w:style w:type="paragraph" w:customStyle="1" w:styleId="Normal3">
    <w:name w:val="Normal 3"/>
    <w:basedOn w:val="Fixed"/>
    <w:next w:val="Fixed"/>
    <w:uiPriority w:val="99"/>
    <w:pPr>
      <w:spacing w:line="570" w:lineRule="atLeast"/>
      <w:ind w:left="0" w:right="3267" w:firstLine="1440"/>
    </w:pPr>
  </w:style>
  <w:style w:type="paragraph" w:customStyle="1" w:styleId="Normal4">
    <w:name w:val="Normal 4"/>
    <w:basedOn w:val="Fixed"/>
    <w:next w:val="Fixed"/>
    <w:uiPriority w:val="99"/>
    <w:pPr>
      <w:spacing w:line="570" w:lineRule="atLeast"/>
      <w:ind w:left="0" w:right="3267" w:firstLine="1440"/>
    </w:pPr>
  </w:style>
  <w:style w:type="paragraph" w:customStyle="1" w:styleId="Normal5">
    <w:name w:val="Normal 5"/>
    <w:basedOn w:val="Fixed"/>
    <w:next w:val="Fixed"/>
    <w:uiPriority w:val="99"/>
    <w:pPr>
      <w:spacing w:line="570" w:lineRule="atLeast"/>
      <w:ind w:left="0" w:right="3267" w:firstLine="1440"/>
    </w:pPr>
  </w:style>
  <w:style w:type="paragraph" w:customStyle="1" w:styleId="Normal6">
    <w:name w:val="Normal 6"/>
    <w:basedOn w:val="Fixed"/>
    <w:next w:val="Fixed"/>
    <w:uiPriority w:val="99"/>
    <w:pPr>
      <w:spacing w:line="570" w:lineRule="atLeast"/>
      <w:ind w:left="0" w:right="3267" w:firstLine="1440"/>
    </w:pPr>
  </w:style>
  <w:style w:type="paragraph" w:customStyle="1" w:styleId="Normal7">
    <w:name w:val="Normal 7"/>
    <w:basedOn w:val="Fixed"/>
    <w:next w:val="Fixed"/>
    <w:uiPriority w:val="99"/>
    <w:pPr>
      <w:spacing w:line="570" w:lineRule="atLeast"/>
      <w:ind w:left="0" w:right="3267" w:firstLine="1440"/>
    </w:pPr>
  </w:style>
  <w:style w:type="paragraph" w:customStyle="1" w:styleId="Normal8">
    <w:name w:val="Normal 8"/>
    <w:basedOn w:val="Fixed"/>
    <w:next w:val="Fixed"/>
    <w:uiPriority w:val="99"/>
    <w:pPr>
      <w:spacing w:line="570" w:lineRule="atLeast"/>
      <w:ind w:left="0" w:right="3267" w:firstLine="1440"/>
    </w:pPr>
  </w:style>
  <w:style w:type="paragraph" w:customStyle="1" w:styleId="9Style">
    <w:name w:val="9 Style"/>
    <w:basedOn w:val="Fixed"/>
    <w:next w:val="Fixed"/>
    <w:uiPriority w:val="99"/>
    <w:pPr>
      <w:spacing w:line="570" w:lineRule="atLeast"/>
      <w:ind w:left="0" w:right="3267" w:firstLine="1440"/>
    </w:pPr>
  </w:style>
  <w:style w:type="paragraph" w:styleId="Header">
    <w:name w:val="header"/>
    <w:basedOn w:val="Fixed"/>
    <w:next w:val="Fixed"/>
    <w:link w:val="HeaderChar"/>
    <w:uiPriority w:val="99"/>
    <w:pPr>
      <w:ind w:left="0" w:right="3267" w:firstLine="0"/>
      <w:jc w:val="center"/>
    </w:pPr>
  </w:style>
  <w:style w:type="character" w:customStyle="1" w:styleId="HeaderChar">
    <w:name w:val="Header Char"/>
    <w:basedOn w:val="DefaultParagraphFont"/>
    <w:link w:val="Header"/>
    <w:uiPriority w:val="99"/>
    <w:semiHidden/>
    <w:rPr>
      <w:rFonts w:ascii="Courier New" w:hAnsi="Courier New" w:cs="Courier New"/>
      <w:sz w:val="24"/>
      <w:szCs w:val="24"/>
    </w:rPr>
  </w:style>
  <w:style w:type="paragraph" w:styleId="Footer">
    <w:name w:val="footer"/>
    <w:basedOn w:val="Fixed"/>
    <w:next w:val="Fixed"/>
    <w:link w:val="FooterChar"/>
    <w:uiPriority w:val="99"/>
    <w:pPr>
      <w:ind w:left="0" w:right="3267" w:firstLine="0"/>
      <w:jc w:val="center"/>
    </w:pPr>
  </w:style>
  <w:style w:type="character" w:customStyle="1" w:styleId="FooterChar">
    <w:name w:val="Footer Char"/>
    <w:basedOn w:val="DefaultParagraphFont"/>
    <w:link w:val="Footer"/>
    <w:uiPriority w:val="99"/>
    <w:semiHidden/>
    <w:rPr>
      <w:rFonts w:ascii="Courier New" w:hAnsi="Courier New" w:cs="Courier New"/>
      <w:sz w:val="24"/>
      <w:szCs w:val="24"/>
    </w:rPr>
  </w:style>
  <w:style w:type="paragraph" w:customStyle="1" w:styleId="ContinQ">
    <w:name w:val="Contin Q"/>
    <w:basedOn w:val="Fixed"/>
    <w:next w:val="Fixed"/>
    <w:uiPriority w:val="99"/>
    <w:pPr>
      <w:spacing w:line="570" w:lineRule="atLeast"/>
      <w:ind w:firstLine="432"/>
    </w:pPr>
  </w:style>
  <w:style w:type="paragraph" w:customStyle="1" w:styleId="ContinA">
    <w:name w:val="Contin A"/>
    <w:basedOn w:val="Fixed"/>
    <w:next w:val="Fixed"/>
    <w:uiPriority w:val="99"/>
    <w:pPr>
      <w:spacing w:line="570" w:lineRule="atLeast"/>
      <w:ind w:firstLine="432"/>
    </w:pPr>
  </w:style>
  <w:style w:type="paragraph" w:customStyle="1" w:styleId="ContinCol">
    <w:name w:val="Contin Col"/>
    <w:basedOn w:val="Fixed"/>
    <w:next w:val="Fixed"/>
    <w:uiPriority w:val="99"/>
  </w:style>
  <w:style w:type="paragraph" w:customStyle="1" w:styleId="Parenthetical">
    <w:name w:val="Parenthetical"/>
    <w:basedOn w:val="Fixed"/>
    <w:next w:val="Fixed"/>
    <w:uiPriority w:val="99"/>
    <w:pPr>
      <w:spacing w:line="570" w:lineRule="atLeast"/>
      <w:ind w:left="2880" w:right="2691" w:firstLine="0"/>
    </w:pPr>
  </w:style>
  <w:style w:type="paragraph" w:customStyle="1" w:styleId="Rightflush">
    <w:name w:val="Right flush"/>
    <w:basedOn w:val="Fixed"/>
    <w:next w:val="Fixed"/>
    <w:uiPriority w:val="99"/>
    <w:pPr>
      <w:spacing w:line="570" w:lineRule="atLeast"/>
      <w:ind w:left="2880" w:right="2691" w:firstLine="0"/>
      <w:jc w:val="right"/>
    </w:pPr>
  </w:style>
  <w:style w:type="paragraph" w:customStyle="1" w:styleId="BylineSQ">
    <w:name w:val="By line (SQ)"/>
    <w:basedOn w:val="Fixed"/>
    <w:next w:val="Fixed"/>
    <w:uiPriority w:val="99"/>
    <w:pPr>
      <w:spacing w:line="570" w:lineRule="atLeast"/>
      <w:ind w:firstLine="432"/>
    </w:pPr>
  </w:style>
  <w:style w:type="paragraph" w:customStyle="1" w:styleId="BylineQS">
    <w:name w:val="By line (QS)"/>
    <w:basedOn w:val="Fixed"/>
    <w:next w:val="Fixed"/>
    <w:uiPriority w:val="99"/>
    <w:pPr>
      <w:spacing w:line="570" w:lineRule="atLeast"/>
      <w:ind w:firstLine="432"/>
    </w:pPr>
  </w:style>
  <w:style w:type="paragraph" w:customStyle="1" w:styleId="Questionquoted">
    <w:name w:val="Question (quoted)"/>
    <w:basedOn w:val="Fixed"/>
    <w:next w:val="Fixed"/>
    <w:uiPriority w:val="99"/>
    <w:pPr>
      <w:spacing w:line="570" w:lineRule="atLeast"/>
      <w:ind w:left="720" w:right="3267" w:firstLine="576"/>
    </w:pPr>
  </w:style>
  <w:style w:type="paragraph" w:customStyle="1" w:styleId="Answerquoted">
    <w:name w:val="Answer (quoted)"/>
    <w:basedOn w:val="Fixed"/>
    <w:next w:val="Fixed"/>
    <w:uiPriority w:val="99"/>
    <w:pPr>
      <w:spacing w:line="570" w:lineRule="atLeast"/>
      <w:ind w:left="720" w:right="3267" w:firstLine="576"/>
    </w:pPr>
  </w:style>
  <w:style w:type="paragraph" w:customStyle="1" w:styleId="Speakerquoted">
    <w:name w:val="Speaker (quoted)"/>
    <w:basedOn w:val="Fixed"/>
    <w:next w:val="Fixed"/>
    <w:uiPriority w:val="99"/>
    <w:pPr>
      <w:spacing w:line="570" w:lineRule="atLeast"/>
      <w:ind w:right="3267"/>
    </w:pPr>
  </w:style>
  <w:style w:type="paragraph" w:customStyle="1" w:styleId="questionPghquoted">
    <w:name w:val="question Pgh (quoted)"/>
    <w:basedOn w:val="Fixed"/>
    <w:next w:val="Fixed"/>
    <w:uiPriority w:val="99"/>
    <w:pPr>
      <w:spacing w:line="570" w:lineRule="atLeast"/>
      <w:ind w:left="720" w:right="3267" w:firstLine="2160"/>
    </w:pPr>
  </w:style>
  <w:style w:type="paragraph" w:customStyle="1" w:styleId="answerPghquoted">
    <w:name w:val="answer Pgh (quoted)"/>
    <w:basedOn w:val="Fixed"/>
    <w:next w:val="Fixed"/>
    <w:uiPriority w:val="99"/>
    <w:pPr>
      <w:spacing w:line="570" w:lineRule="atLeast"/>
      <w:ind w:left="720" w:right="3267" w:firstLine="2160"/>
    </w:pPr>
  </w:style>
  <w:style w:type="paragraph" w:customStyle="1" w:styleId="speakerPghquoted">
    <w:name w:val="speaker Pgh (quoted)"/>
    <w:basedOn w:val="Fixed"/>
    <w:next w:val="Fixed"/>
    <w:uiPriority w:val="99"/>
    <w:pPr>
      <w:spacing w:line="570" w:lineRule="atLeast"/>
      <w:ind w:right="3267"/>
    </w:pPr>
  </w:style>
  <w:style w:type="paragraph" w:customStyle="1" w:styleId="certifiedQuestion">
    <w:name w:val="certified Question"/>
    <w:basedOn w:val="Fixed"/>
    <w:next w:val="Fixed"/>
    <w:uiPriority w:val="99"/>
    <w:pPr>
      <w:spacing w:line="570" w:lineRule="atLeast"/>
      <w:ind w:left="0" w:right="3267" w:firstLine="288"/>
    </w:pPr>
  </w:style>
  <w:style w:type="paragraph" w:customStyle="1" w:styleId="Index1">
    <w:name w:val="Index1"/>
    <w:basedOn w:val="Fixed"/>
    <w:next w:val="Fixed"/>
    <w:uiPriority w:val="99"/>
    <w:pPr>
      <w:ind w:right="4995" w:hanging="1440"/>
    </w:pPr>
  </w:style>
  <w:style w:type="paragraph" w:customStyle="1" w:styleId="IndexBlank">
    <w:name w:val="IndexBlank"/>
    <w:basedOn w:val="Fixed"/>
    <w:next w:val="Fixed"/>
    <w:uiPriority w:val="99"/>
    <w:pPr>
      <w:ind w:right="4995" w:hanging="1584"/>
    </w:pPr>
  </w:style>
  <w:style w:type="paragraph" w:customStyle="1" w:styleId="captionbox">
    <w:name w:val="caption box"/>
    <w:basedOn w:val="Fixed"/>
    <w:next w:val="Fixed"/>
    <w:uiPriority w:val="99"/>
    <w:pPr>
      <w:ind w:left="0" w:right="6435" w:firstLine="0"/>
    </w:pPr>
  </w:style>
  <w:style w:type="paragraph" w:customStyle="1" w:styleId="a">
    <w:name w:val="&gt;&gt;"/>
    <w:basedOn w:val="Fixed"/>
    <w:next w:val="Fixed"/>
    <w:uiPriority w:val="99"/>
    <w:pPr>
      <w:spacing w:line="570" w:lineRule="atLeast"/>
      <w:ind w:firstLine="432"/>
    </w:pPr>
  </w:style>
  <w:style w:type="paragraph" w:customStyle="1" w:styleId="Normal0">
    <w:name w:val="Normal 0"/>
    <w:rsid w:val="002C75A9"/>
    <w:pPr>
      <w:widowControl w:val="0"/>
      <w:autoSpaceDE w:val="0"/>
      <w:autoSpaceDN w:val="0"/>
      <w:adjustRightInd w:val="0"/>
      <w:spacing w:after="0" w:line="240" w:lineRule="auto"/>
      <w:ind w:hanging="720"/>
    </w:pPr>
    <w:rPr>
      <w:rFonts w:ascii="Courier New" w:eastAsia="Times New Roman" w:hAnsi="Courier New" w:cs="Courier New"/>
      <w:sz w:val="24"/>
      <w:szCs w:val="24"/>
    </w:rPr>
  </w:style>
  <w:style w:type="paragraph" w:customStyle="1" w:styleId="ByContin1">
    <w:name w:val="By  Contin 1"/>
    <w:basedOn w:val="Normal"/>
    <w:uiPriority w:val="99"/>
    <w:rsid w:val="00C45410"/>
    <w:pPr>
      <w:tabs>
        <w:tab w:val="left" w:pos="504"/>
      </w:tabs>
      <w:spacing w:line="240" w:lineRule="auto"/>
      <w:ind w:left="0" w:right="0" w:firstLine="504"/>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12720</Words>
  <Characters>72504</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dc:creator>
  <cp:keywords/>
  <dc:description/>
  <cp:lastModifiedBy>Lara ALMNINI</cp:lastModifiedBy>
  <cp:revision>4</cp:revision>
  <dcterms:created xsi:type="dcterms:W3CDTF">2015-06-03T15:47:00Z</dcterms:created>
  <dcterms:modified xsi:type="dcterms:W3CDTF">2015-06-19T12:18:00Z</dcterms:modified>
</cp:coreProperties>
</file>